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14.2016.280 vom 15. Februar 2017</w:t>
      </w:r>
    </w:p>
    <w:p>
      <w:r>
        <w:t>TI Tribunale d'appello, 2017-02-15, IT</w:t>
      </w:r>
    </w:p>
    <w:p>
      <w:r>
        <w:rPr>
          <w:b/>
        </w:rPr>
        <w:t xml:space="preserve">Quelle: </w:t>
      </w:r>
      <w:r>
        <w:t>https://mcp.opencaselaw.ch/entscheid/ti_gerichte_14.2016.280</w:t>
      </w:r>
    </w:p>
    <w:p>
      <w:r>
        <w:t>FR: TI_GERICHTE 14.2016.280 du 15 février 2017</w:t>
      </w:r>
    </w:p>
    <w:p>
      <w:r>
        <w:t>IT: TI_GERICHTE 14.2016.280 del 15 febbraio 2017</w:t>
      </w:r>
    </w:p>
    <w:p>
      <w:pPr>
        <w:pStyle w:val="Heading2"/>
      </w:pPr>
      <w:r>
        <w:t>Regeste</w:t>
      </w:r>
    </w:p>
    <w:p>
      <w:r>
        <w:t>Rigetto definitivo dell’opposizione. Irricevibilità del reclamo fondato su allegazioni e documenti nuovi. Assenza di documenti legittimanti il rigetto definitivo o provvisorio dell’opposizione</w:t>
      </w:r>
    </w:p>
    <w:p>
      <w:pPr>
        <w:pStyle w:val="Heading2"/>
      </w:pPr>
      <w:r>
        <w:t>Erwägungen</w:t>
      </w:r>
    </w:p>
    <w:p>
      <w:r>
        <w:rPr>
          <w:b/>
        </w:rPr>
        <w:t>E. 3</w:t>
      </w:r>
    </w:p>
    <w:p>
      <w:r>
        <w:t>Nel caso concreto, col reclamo RE 1 non tenta di confutare la motivazione della sentenza impugnata, indicando i documenti da lui prodotti in prima sede da cui si potrebbe dedurre l’esistenza di un titolo di rigetto definitivo dell’opposizione – ovvero una decisione giudiziaria esecutiva o un titolo parificato nel senso dell’art. 80 LEF che condanni la convenuta a pagare la somma posta in esecuzione – o di un titolo di rigetto provvisorio, vale a dire un riconoscimento scritto del debito posto in esecuzione firmato dalla convenuta (art. 82 cpv. 1 LEF) . Egli si limita unicamente a dichiarare d’impugnare il giudizio di primo grado e ad allegare al reclamo ulteriore documentazione su cui fonda poi la propria motivazione, riferendosi in particolare alla “Convenzione” del 15 marzo 2014 ( doc. 1) – ch’egli definisce un “ riconoscimento di debito di affitto ” –, al verbale di udienza nella procedura di conciliazione nel frattempo avviata davanti al Giudice di pace per un’altra pretesa vantata nei confronti dell’escussa ( doc.</w:t>
      </w:r>
    </w:p>
    <w:p>
      <w:r>
        <w:rPr>
          <w:b/>
        </w:rPr>
        <w:t>E. 6</w:t>
      </w:r>
    </w:p>
    <w:p>
      <w:r>
        <w:t>) , all’email del 6 aprile 2016 trasmessa all’avv. A__________ da C__________ __________ ( doc. 4), nonché a una dichiarazione scritta del 23 novembre 2016 di quest’ultimo ( doc. 3 ). E siccome l’intera sua argomentazione poggia proprio su quelle nuove allegazioni e su quei nuovi documenti, il reclamo si rivela insufficientemente motivato e di conseguenza irricevibile (sopra consid. 1.2). 1.4 Merita quindi conferma la decisione impugnata, in cui il Pretore ha correttamente stabilito che in assenza di una decisione o di un riconoscimento di debito sottoscritto da CO 1 nel senso appena indicato, la documentazione prodotta in prima sede da RE 1 non può assurgere a titolo di rigetto definitivo o provvisorio dell’opposizione. A scanso di equivoci, occorre del resto ricordare che l 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sua decisione non pregiudica quindi le ragioni delle parti nel merito, su cui né il primo giudice né la Camera hanno la competenza a decidere. In altre parole, a RE 1 rimane salva la possibilità, promuovendo una procedura creditoria ordinaria (art. 79 LEF), di dimostrare l’esistenza delle sue pretese e di produrre le prove che non hanno potuto essere esaminate in questa sede, in modo da ottenere un titolo che gli permetta poi di far rigettare in via definitiva l’opposizione interposta da CO 1. 1.5 Anche la richiesta del reclamante di poter di nuovo utilizzare il suo magazzino rientra nella competenza del giudice civile ordinario e risulta così inammissibile in questa sede. 2. La tassa del presente giudizio, stabilita in applicazione degli art. 48 e 61 cpv. 1 OTLEF (RS 281.35), segue la soccombenza (art. 106 cpv. 1 CPC). Non si pone invece problema di ripetibili, il reclamo non essendo stato notificato alla controparte per osservazioni. Circa i rimedi esperibili sul piano federale (art. 112 cpv. 1 lett. d LTF), il valore litigioso, di fr. 6'300.–, non raggiunge la soglia di fr. 30'000.– ai fini dell’art. 74 cpv. 1 lett. b LTF. Per questi motivi, pronuncia: 1. Il reclamo è irricevibile. 2. Le spese processuali di complessivi fr. 170.– relative al presente giudizio, già anticipate dal reclamante, sono poste a suo carico. 3. Notificazione a: –; –. Comunicazione alla Pretura del Distretto di Blenio.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