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14.2016.228 vom 23. Januar 2017</w:t>
      </w:r>
    </w:p>
    <w:p>
      <w:r>
        <w:t>TI Tribunale d'appello, 2017-01-23, IT</w:t>
      </w:r>
    </w:p>
    <w:p>
      <w:r>
        <w:rPr>
          <w:b/>
        </w:rPr>
        <w:t xml:space="preserve">Quelle: </w:t>
      </w:r>
      <w:r>
        <w:t>https://mcp.opencaselaw.ch/entscheid/ti_gerichte_14.2016.228</w:t>
      </w:r>
    </w:p>
    <w:p>
      <w:r>
        <w:t>FR: TI_GERICHTE 14.2016.228 du 23 janvier 2017</w:t>
      </w:r>
    </w:p>
    <w:p>
      <w:r>
        <w:t>IT: TI_GERICHTE 14.2016.228 del 23 gennaio 2017</w:t>
      </w:r>
    </w:p>
    <w:p>
      <w:pPr>
        <w:pStyle w:val="Heading2"/>
      </w:pPr>
      <w:r>
        <w:t>Regeste</w:t>
      </w:r>
    </w:p>
    <w:p>
      <w:r>
        <w:t>Rigetto definitivo dell’opposizione. Decisione di tassazione per l’imposta comunale passata in giudicato. Irricevibilità dei fatti nuovi. Mancata identità tra la pretesa posta in esecuzione e il debito accertato nel titolo di rigetto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–; –. Comunicazione alla Pretura della Giurisdizione di Locarno-Cam­pagna.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