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14.2016.221 vom 28. Februar 2017</w:t>
      </w:r>
    </w:p>
    <w:p>
      <w:r>
        <w:t>TI Tribunale d'appello, 2017-02-28, IT</w:t>
      </w:r>
    </w:p>
    <w:p>
      <w:r>
        <w:rPr>
          <w:b/>
        </w:rPr>
        <w:t xml:space="preserve">Quelle: </w:t>
      </w:r>
      <w:r>
        <w:t>https://mcp.opencaselaw.ch/entscheid/ti_gerichte_14.2016.221</w:t>
      </w:r>
    </w:p>
    <w:p>
      <w:r>
        <w:t>FR: TI_GERICHTE 14.2016.221 du 28 février 2017</w:t>
      </w:r>
    </w:p>
    <w:p>
      <w:r>
        <w:t>IT: TI_GERICHTE 14.2016.221 del 28 febbraio 2017</w:t>
      </w:r>
    </w:p>
    <w:p>
      <w:pPr>
        <w:pStyle w:val="Heading2"/>
      </w:pPr>
      <w:r>
        <w:t>Regeste</w:t>
      </w:r>
    </w:p>
    <w:p>
      <w:r>
        <w:t>Opposizione al sequestro. Contratto di lavoro. Divieto di concorrenza. Pena convenzionale</w:t>
      </w:r>
    </w:p>
    <w:p>
      <w:pPr>
        <w:pStyle w:val="Heading2"/>
      </w:pPr>
      <w:r>
        <w:t>Erwägungen</w:t>
      </w:r>
    </w:p>
    <w:p>
      <w:r>
        <w:rPr>
          <w:b/>
        </w:rPr>
        <w:t>E. 6</w:t>
      </w:r>
    </w:p>
    <w:p>
      <w:r>
        <w:t>Delle tre condizioni stabilite dalla legge per la concessione del sequestro (sopra, consid. 2), solo quella relativa alla verosimiglianza della pretesa vantata dalla sequestrante è litigiosa.</w:t>
      </w:r>
    </w:p>
    <w:p>
      <w:r>
        <w:rPr>
          <w:b/>
        </w:rPr>
        <w:t>E. 6.1</w:t>
      </w:r>
    </w:p>
    <w:p>
      <w:r>
        <w:t>In concreto, il “divieto di concorrenza (artt. 340, 340a, 340b del C.O.)” e la relativa pena convenzionale, contenuti nel contratto individuale di lavoro stipulato il 12 novembre 2014 tra le parti, hanno il seguente tenore: “Il Signor RE 1 si impegna nei confronti dellCO 1., per un periodo di 3 anni dopo la cessazione del rapporto di lavoro per qualsiasi motivo (licenziamento, dimissioni ecc.) sia in Svizzera sia in Italia a non effettuare direttamente o indirettamente, sia in forma autonoma che in forma subordinata, concorrenza all’CO 1. Si impegna quindi a: – NON fornire ad altri informazioni capaci di danneggiare l’attività commerciale dell’CO 1.; – NON intraprendere atti idonei a sviare la clientela dell’CO 1. prestando la sua opera come dipendente, dirigente, consulente o sotto qualsiasi forma o veste a clienti, ad aziende, società, imprese, persone che operano nello stesso settore merceologico dell’CO 1. In caso contrario è prevista una pena convenzionale di CHF 150'000 .– oltre ad un’ulteriore responsabilità per l’eventuale maggior danno arrecato. Resta inteso che, durante tale periodo, il dipendente, in ogni caso, non può e non deve contattare la clientela dell’CO 1., né comunque intrattenere con essa alcun rapporto professionale e/o lavorativo” (doc. B, pag. 2 nell’inc. __________).</w:t>
      </w:r>
    </w:p>
    <w:p>
      <w:r>
        <w:rPr>
          <w:b/>
        </w:rPr>
        <w:t>E. 6.2</w:t>
      </w:r>
    </w:p>
    <w:p>
      <w:r>
        <w:t>Giusta l’art. 18 cpv. 1 CO un contratto va interpretato, sia per la forma che per il contenuto, indagando sulla vera e concorde volontà dei contraenti. In base a questi principi, il giudice è innanzitutto tenuto ad esaminare se l’istruttoria abbia permesso di accertare l’esistenza di una concorde e comune volontà dei contra­enti (interpretazione soggettiva) e in tal caso a indicarne il con­tenuto. Solo quando non vi sono accertamenti di fatto sulla reale concordanza della volontà delle parti o se la volontà intima delle parti è divergente, il giudice deve interpretare le dichiarazioni e i comportamenti delle parti secondo il principio dell’affidamento, ossia secondo il senso che ogni parte poteva e doveva ragionevolmente attribuire alle dichiarazioni di volontà dell’altra nella situazione concreta (DTF 133 III 675 consid. 3.3; 132 III 268 consid. 2.3.2; 131 III 606 consid. 4.1; sentenza della II CCA 12.2013.141 del 9 aprile 2015, consid. 8 con rinvii). Riassuntivamente, per l’interpretazione di dichiarazioni scritte occorre innanzitutto riferirsi al testo delle stesse.</w:t>
      </w:r>
    </w:p>
    <w:p>
      <w:r>
        <w:rPr>
          <w:b/>
        </w:rPr>
        <w:t>E. 6.3</w:t>
      </w:r>
    </w:p>
    <w:p>
      <w:r>
        <w:t>Nel caso di specie non vi sono agli atti altri indizi oggettivi e concreti sulla volontà soggettiva delle parti in merito alla portata del divieto di concorrenza al momento della sottoscrizione del contratto di lavoro se non il testo di quel contratto. Esso va sottoposto, come già avvenuto in prima sede, a un’interpretazione oggettiva, secondo il principio dell’affidamento. Di natura giuridica (DTF 129 III 707 consid. 2.4) la questione può essere esaminata dalla Camera con pieno potere di cognizione (sentenza della CEF 14.2015.188 del 21 ottobre 2015, RtiD 2016 I 732 n. 49c consid. 7.3/b), pur nei limiti di un esame sommario basato sul criterio della verosimiglianza ( sopra consid. 1.2/a). a) Il titolo e la prima frase del “divieto di concorrenza” hanno una portata ampia e generica, ancorché limitata nel tempo (tre anni) e nello spazio (Svizzera e Italia). Non è dubbio che il divieto comprende anche l’obbligo di astenersi “in particolare a non esercitare per proprio conto un’azienda concorrente né a lavorare in una tale azienda né a parteciparvi”, come stabilisce espressamente l’art. 340 cpv. 1 CO, citato nel titolo della clausola. Non appare verosimile, d’altronde, che i tre impegni specifici menzionati nel secondo e nel quarto paragrafo siano esclusivi come sostiene il reclamante, la cui interpretazione fa completamente astrazione del titolo della clausola e del primo paragrafo. Non si disconosce che la clausola sarebbe stata molto più chiara se invece di fare precedere i due primi impegni specifici dalla congiunzione “quindi” le parti avessero usato l’avverbio “segnatamente” o “in particolare”. La congiunzione “quindi”, ad ogni modo, non ha in sé, usualmente, un senso esclusivo. Proprio il contenuto ampio della clausola generale figurante nel primo paragrafo fa ragionevolmente pensare che gli impegni specifici sono tre delle sue possibili conseguenze e non i tre unici effetti concreti. L’interpretazione del Pretore, secondo cui, a una lettura globale, la clausola com­prende il divieto “di effettuare, durante 3 anni e nel comparto territoriale indicato, un’attività dipendente o indipendente concorrenziale” resiste alla critica. Ora, non è contestato che l’opponente, pochi me­si dopo la fine del rapporto di lavoro con la sequestrante, ha iniziato a lavorare presso la R__________ Sagl con sede a __________ e recapito a __________, attiva anch’essa nell’ambito delle spedizioni nazionali e internazionali, ossia nello stesso settore merceologico dell’CO 1 e sullo stesso territorio. Considerare ciò come una presumibile violazione del divieto di concorrenza sfugge a censura. b) Un dubbio, invero, potrebbe sorgere dalla formulazione del secon­do impegno specifico, volto a non “ intraprendere atti idonei a sviare la clientela dell’CO 1 prestando la sua opera […] a […] persone che operano nello stesso settore merceologico dell’CO 1” . Ove, infatti, la proposta subordinata introdotta dal gerundio del verbo “prestare” abbia una funzione temporale, ovvero laddove la parola “prestando” sia usata nel senso della congiunzione “quando”, ne conseguirebbe che il semplice prestare la propria opera a favore di concorrenti ancora non infrangerebbe il divieto di concorrenza in assenza di specifici e aggiuntivi “atti idonei a sviare la clientela” da parte della sequestrante. Se invece l’uso del gerundio ha una funzione modale, la subordinata indica solo il modo in cui viene eseguita la proposta principale, sicché il prestare la propria opera a favore di concorrenti rappresenterebbe il modo (o uno dei modi) in cui RE 1 è presunto compiere un atto idoneo a sviare la clientela dell’ex datrice di lavoro. In verità, nessuna delle due interpretazioni è interamente convincente. La prima, infatti, implicherebbe a contrario che il dipendente non sarebbe presunto ledere il divieto di concorrenza se dovesse sviare la clientela dell’ex datrice di lavoro nel quadro di un’attività indipendente. Mentre il senso risultante dalla seconda interpretazione poteva essere espresso in modo più chiaro semplicemente tralasciando la proposizione principale. Fatto sta che da tale impegno specifico non risulta chiaramente che lavorare a favore di concorrenti non ricada sotto il divieto di concorrenza prescritto alla clausola generale. In assenza di un’evidente pattuizione con­traria , appare pertanto verosimile che il divieto assuma una portata ampia tale da escludere ogni attività concorrenziale ( Port­mann/Rudolph in: Basler Kommentar, Obligationenrecht I, 6 a ed. 2015, n. 2/b ad art. 340 CO). Anche sotto questo profilo la sentenza impugnata merita conferma. c) Anche il terzo impegno specifico (di non contattare la clientela del­l’ex datrice di lavoro né di lavorare con la stessa) non sembra incompatibile con l’interpretazione del Pretore. Testualmente questo divieto pare applicarsi a tutti i rapporti di lavoro con tale clientela, anche quelli non concorrenziali, ciò che estende la portata del divieto generale. Ad ogni modo non se ne può oggettivamente dedurre, come vorrebbe il reclamante, che la volontà delle parti fosse unicamente quella di vietare a quest’ultimo di sottrarre la clientela dell’escutente ( “Abwerbeverbot” ), poiché un’interp­­retazione siffatta ignora senza motivazione la clausola generale e il suo titolo. Anzi, il fatto che RE 1 ammetta nelle sue osservazioni del 26 settembre 2016 (ad 2) di avere lavorato con clienti dell’CO 1 (__________SpA e __________ Srl), seppure nella veste di mandante, costituisce verosimilmente una vio­lazione del divieto d’ intrattenere con essa [la clientela dell’CO 1] alcun rapporto professionale e/o lavorativo” .</w:t>
      </w:r>
    </w:p>
    <w:p>
      <w:r>
        <w:rPr>
          <w:b/>
        </w:rPr>
        <w:t>E. 6.4</w:t>
      </w:r>
    </w:p>
    <w:p>
      <w:r>
        <w:t>Nulla cambia al riguardo il fatto che con e-mail del 29 febbraio 2016 (doc. 9 allegato al reclamo) il vice-direttore dell’CO 1 abbia espresso a RE 1 gli auguri per la nuova sfida che sarebbe andato a intraprendere, ricordandogli gli impegni contrattuali assunti relativamente alla clientela della società e allegandone la lista. Infatti, da tale comunicazione non si evince se il mittente era al corrente della nuova occupazione di RE 1 presso la R__________ Sagl, ciò di cui è lecito dubitare, giacché l’iscrizione della società nel registro di commercio è stata pubblicata il 26 febbraio 2016 (doc. I).</w:t>
      </w:r>
    </w:p>
    <w:p>
      <w:r>
        <w:rPr>
          <w:b/>
        </w:rPr>
        <w:t>E. 6.5</w:t>
      </w:r>
    </w:p>
    <w:p>
      <w:r>
        <w:t>In merito all’estensione del divieto, il reclamante si limita a ribadire che la clausola contrattuale è “troppo ampia ed evidentemente sproporzionata” senza spiegare perché sarebbe erronea la motivazione del Pretore, secondo cui anche volendo restringerne la portata nel senso dell’art. 340 a CO, presumibilmente la clausola troverebbe comunque applicazione nel caso concreto, dal punto di vista sia temporale – la verosimile violazione risale a pochi mesi dalla fine del rapporto di lavoro – sia territoriale – la ditta per cui lavora il reclamante svolge la sua attività nello stesso comune in cui opera l’CO 1. Insufficientemente motivata la censura è inammissibile (sopra consid. 1.2/b).</w:t>
      </w:r>
    </w:p>
    <w:p>
      <w:r>
        <w:rPr>
          <w:b/>
        </w:rPr>
        <w:t>E. 7</w:t>
      </w:r>
    </w:p>
    <w:p>
      <w:r>
        <w:t>Nella sentenza impugnata (consid. 4.2) il Pretore ha già ampiamente esposto i principi che governano un’eventuale riduzione della pena convenzionale. In questa sede basta ricordare che non è compito del creditore addurre la prova che l’ammontare della pena stipulata non è eccessivo. Spetta al contrario al debitore allegare e dimostrare (a livello di verosimiglianza nella procedura di opposizione al sequestro) i fatti che ne giustificano una riduzione. Vista l’evidente difficoltà probatoria del debitore nel sostanziare il danno subito dalla controparte, si può pretendere però che il creditore stesso quantifichi il proprio pregiudizio (DTF 133 III 201 consid. 5.2; 133 III 43 consid. 3 e 4; DTF 114 II 264 consid. 1/a e 1/b; sentenze della CEF 14.2013.154 del 28 ottobre 2013 consid. 4.1 e 14.2016.113 del 22 novembre 2016 consid. 10.1).</w:t>
      </w:r>
    </w:p>
    <w:p>
      <w:r>
        <w:rPr>
          <w:b/>
        </w:rPr>
        <w:t>E. 7.1</w:t>
      </w:r>
    </w:p>
    <w:p>
      <w:r>
        <w:t>Nella fattispecie le parti hanno stipulato una pena convenzionale di fr. 150'000. – “oltre ad un’ulteriore responsabilità per l’eventuale mag­gior danno arrecato” , che a mente dell’opponente sarebbe da ridurre drasticamente. Egli non ha tuttavia né allegato, né reso verosimili i fatti che giustificherebbero una riduzione della pena, e invero non ha né quantificato né motivato la sua richiesta (act. III, osservazioni, pag. 5). Anche in sede di reclamo egli non porta elementi idonei a sostenere il carattere eccessivo della pena, limitandosi a tacciare la motivazione del Pretore come contraddittoria.</w:t>
      </w:r>
    </w:p>
    <w:p>
      <w:r>
        <w:rPr>
          <w:b/>
        </w:rPr>
        <w:t>E. 7.2</w:t>
      </w:r>
    </w:p>
    <w:p>
      <w:r>
        <w:t>In realtà, il primo giudice ha giustamente ricordato che la pena convenzionale non dipende dall’importo del danno (art. 161 cpv. 1 CO), ma dev’essere ridotta se è eccessiva (art. 163 cpv. 3 CO) con riferimento, fra altri criteri (natura e durata del contratto, gravità della colpa, ecc.), anche all’entità del danno. Secondo la giurisprudenza correttamente riportata dal Pretore (v. pure sopra consid. 7), incombe al debitore di allegare e dimostrare i fatti che giu­stificano una riduzione, quindi anche la consistenza del danno, ferma restando l’incombenza a carico del creditore di quantificarlo. Il ragionamento del primo giudice è quindi esente da contraddizioni, ove appena ci si dia la pena di seguirne il corso. Anche su questo punto il reclamo cade nel vuoto.</w:t>
      </w:r>
    </w:p>
    <w:p>
      <w:r>
        <w:rPr>
          <w:b/>
        </w:rPr>
        <w:t>E. 7.3</w:t>
      </w:r>
    </w:p>
    <w:p>
      <w:r>
        <w:t>Per il resto, RE 1 non discute la motivazione del Pretore, secondo cui la pena non appare grossolanamente eccessiva, tenuto conto dell’importanza della clientela dell’CO 1 e del­l’apparente gravità della violazione del divieto di concorrenza (sopra, consid. 7.4). Sotto questo profilo il reclamo si rivela finanche irricevibile (sopra consid. 1.2/b).</w:t>
      </w:r>
    </w:p>
    <w:p>
      <w:r>
        <w:rPr>
          <w:b/>
        </w:rPr>
        <w:t>E. 8</w:t>
      </w:r>
    </w:p>
    <w:p>
      <w:r>
        <w:t>Le tasse del presente giudizio, stabilite in applicazione degli art. 48 e 61 cpv. 1 OTLEF (RS 281.35), come le ripetibili seguono la soccombenza (art. 106 cpv. 1 CPC). Queste ultime vanno fissate in virtù del Regolamento sulla tariffa per i casi di patrocinio d’uffi­­cio e di assistenza giudiziaria e per la fissazione delle ripetibili (RTar, RL 3.1.1.7.1) per il rinvio del l’art. 96 CPC. Circa i rimedi esperibili sul piano federale (art. 112 cpv. 1 lett. d LTF), il valore litigioso, di fr. 150'000.– raggiunge la soglia di fr. 30'000.– ai fini dell’art. 74 cpv. 1 lett. b LTF. Per questi motivi, pronuncia: 1. Nella misura in cui è ricevibile, il reclamo è respinto e la sentenza impugnata è confermata. 2. Le spese processuali di complessivi fr. 800.– relative al presente giudizio, già anticipate dal reclamante, sono poste a suo carico. Egli rifonderà all’CO 1 fr. 3'000.– per ripetibili. 3. Notificazione a: –; – ,.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