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14.2016.216 vom 3. November 2016</w:t>
      </w:r>
    </w:p>
    <w:p>
      <w:r>
        <w:t>TI Tribunale d'appello, 2016-11-03, IT</w:t>
      </w:r>
    </w:p>
    <w:p>
      <w:r>
        <w:rPr>
          <w:b/>
        </w:rPr>
        <w:t xml:space="preserve">Quelle: </w:t>
      </w:r>
      <w:r>
        <w:t>https://mcp.opencaselaw.ch/entscheid/ti_gerichte_14.2016.216</w:t>
      </w:r>
    </w:p>
    <w:p>
      <w:r>
        <w:t>FR: TI_GERICHTE 14.2016.216 du 3 novembre 2016</w:t>
      </w:r>
    </w:p>
    <w:p>
      <w:r>
        <w:t>IT: TI_GERICHTE 14.2016.216 del 3 novembre 2016</w:t>
      </w:r>
    </w:p>
    <w:p>
      <w:pPr>
        <w:pStyle w:val="Heading2"/>
      </w:pPr>
      <w:r>
        <w:t>Regeste</w:t>
      </w:r>
    </w:p>
    <w:p>
      <w:r>
        <w:t>Fallimento. Pagamento del credito che ha portato al fallimento. Solvibilità</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RE 1 ha prodotto con il reclamo una ricevuta emessa dall’UE di Lugano il 7 ottobre 2016 alle ore 14:19 relativa al versamento di fr. 320.75 a saldo dell’esecuzione promossa dall’istante, per cui il presupposto di cui all’art. 174 cpv. 2 n. 1 risulta adempiuto.</w:t>
      </w:r>
    </w:p>
    <w:p>
      <w:r>
        <w:rPr>
          <w:b/>
        </w:rPr>
        <w:t>E. 2.3</w:t>
      </w:r>
    </w:p>
    <w:p>
      <w:r>
        <w:t>Per quel che riguarda invece il requisito della solvibilità – condizione indispensabile per ottenere l’annullamento della decisione impugnata poiché, come visto, il pagamento della somma posta in esecuzione è avvenuto soltanto dopo la pronuncia del fallimento, anche per poche ore – con il reclamo RE 1 ha prodotto altre cinque ricevute dell’UE di Lugano dello stesso 7 ottobre 2016 relative al pagamento a saldo di altre cinque esecuzioni promosse dall’istante per un totale di fr. 7'311.25. Insieme al complemento del 14 ottobre 2016, egli ha poi trasmesso alla Camera nove ulteriori ricevute rilasciate dall’UE tra l’11 e il 14 ottobre 2016 attestanti il pagamento di otto attestati di carenza di beni per complessivi fr. 120'105.65 e del saldo di un’esecu­zione di fr. 6.20. Alla Camera è noto che in quel modo il reclamante ha sanato quasi interamente la propria situazione esecutiva, lasciando in essere solo due esecuzioni per circa complessivi fr. 3'500.–, entrambe sospese da opposizione da oltre due anni. Ciò porta a ritenere che la sua situazione finanziaria non sia più seriamente compromessa. Ricordato che secondo giurisprudenza e dottrina non si possono imporre esigenze troppo severe alla verosimiglianza della solvibilità, nel caso che ci occupa si può affermare che la capacità di pagamento del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di RE 1 va annullato.</w:t>
      </w:r>
    </w:p>
    <w:p>
      <w:r>
        <w:rPr>
          <w:b/>
        </w:rPr>
        <w:t>E. 3</w:t>
      </w:r>
    </w:p>
    <w:p>
      <w:r>
        <w:t>La tassa di giustizia (calcolata secondo gli art. 52 lett. a e 61 cpv. 1 OTLEF [ RS 281.35] ), come pure le spese dell’Ufficio dei fallimenti di Lugano, sono poste in ambo le sedi a carico del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6 ottobre 2016 dalla Pretura del Distretto di Lugano, sezione 5, nei confronti di RE 1 è annullata. 2.   La tassa di giustizia di prima sede di fr. 80.–, da anticipare come di rito, è posta a carico di RE 1. 3.   Le spese dell’Ufficio dei fallimenti di Lugano, da anticipare come di rito, sono poste a carico di RE 1. II. La tassa di giustizia del presente giudizio di fr. 150.– è posta a carico di RE 1. La parte eccedente dell’anticipo corrisposto dal reclamante in questa sede, pari a fr. 80.–, è versata all’CO 1 quale rimborso della tassa di giustizia di primo grado di cui al soprastante dispositivo n. I.2. III. Notificazione a: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