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14.2016.212 vom 19. Januar 2017</w:t>
      </w:r>
    </w:p>
    <w:p>
      <w:r>
        <w:t>TI Tribunale d'appello, 2017-01-19, IT</w:t>
      </w:r>
    </w:p>
    <w:p>
      <w:r>
        <w:rPr>
          <w:b/>
        </w:rPr>
        <w:t xml:space="preserve">Quelle: </w:t>
      </w:r>
      <w:r>
        <w:t>https://mcp.opencaselaw.ch/entscheid/ti_gerichte_14.2016.212</w:t>
      </w:r>
    </w:p>
    <w:p>
      <w:r>
        <w:t>FR: TI_GERICHTE 14.2016.212 du 19 janvier 2017</w:t>
      </w:r>
    </w:p>
    <w:p>
      <w:r>
        <w:t>IT: TI_GERICHTE 14.2016.212 del 19 gennaio 2017</w:t>
      </w:r>
    </w:p>
    <w:p>
      <w:pPr>
        <w:pStyle w:val="Heading2"/>
      </w:pPr>
      <w:r>
        <w:t>Regeste</w:t>
      </w:r>
    </w:p>
    <w:p>
      <w:r>
        <w:t>Rigetto definitivo dell’opposizione. Decisione di restituzione d’indennità di disoccupazione indebitamente percepite. Eccezioni di rinuncia parziale al credito e di concessione di una dilazione di pagamento</w:t>
      </w:r>
    </w:p>
    <w:p>
      <w:pPr>
        <w:pStyle w:val="Heading2"/>
      </w:pPr>
      <w:r>
        <w:t>Erwägungen</w:t>
      </w:r>
    </w:p>
    <w:p>
      <w:r>
        <w:rPr>
          <w:b/>
        </w:rPr>
        <w:t>E. 3</w:t>
      </w:r>
    </w:p>
    <w:p>
      <w:r>
        <w:t>Nella decisione impugnata, il Pretore ha rilevato che la documentazione prodotta dall’istante costituisce titolo di rigetto definitivo dell’opposizione e che le allegazioni addotte dal convenuto nelle proprie osservazioni, afferenti al merito della vertenza, esulano dai margini del potere cognitivo del giudice del rigetto del­l’opposizione, al quale compete unicamente esaminare le eccezioni che rientrano tra quelle enumerate all’art. 81 cpv. 1 LEF.</w:t>
      </w:r>
    </w:p>
    <w:p>
      <w:r>
        <w:rPr>
          <w:b/>
        </w:rPr>
        <w:t>E. 4</w:t>
      </w:r>
    </w:p>
    <w:p>
      <w:r>
        <w:t>Nel reclamo RE 1 ribadisce che il 22 settembre 2015 la procedente gli ha chiesto la restituzione dell’importo “glo­bale e onnicomprensivo” di soli fr. 1'690.– (e non dei fr. 8'244.10 ora richiesti). Inoltre il 17 febbraio 2016 il calcolatore del servizio incassi della cassa procedente gli avrebbe suggerito telefonicamente “di fare opposizione per permettere l’approvazione nelle corrette tempistiche, della rateizzazione proposta dal convenuto di fr. 100.– mensili fino al raggiungimento del totale reclamato” , senza poi che sia stato mai statuito sulla sua richiesta di dilazione.</w:t>
      </w:r>
    </w:p>
    <w:p>
      <w:r>
        <w:rPr>
          <w:b/>
        </w:rPr>
        <w:t>E. 5</w:t>
      </w:r>
    </w:p>
    <w:p>
      <w:r>
        <w:t>In ogni stadio di causa (quindi anche in sede di reclamo), il giudice esamina d’ufficio (DTF 103 Ia 52 consid. 2/e), a prescindere dalle allegazioni delle parti, se la documentazione prodotta costituisce valido titolo di rigetto dell’opposizione (DTF 139 III 447 consid. 4.1.1). Nella fattispecie, il reclamante non contesta, ed è pacifico, che la decisione del 2 maggio 2011, con cui la Cassa cantonale di assicurazione contro la disoccupazione ha ordinato a RE 1 di restituire le indennità di disoccupazione da lui indebitamente percepite da agosto a dicembre del 2009 per complessivi fr. 8'244.10 (doc. B accluso all’istanza) sia esecutiva, il Presidente del Tribunale cantonale delle assicurazioni (TCA), con sentenza del 24 maggio 2012 (doc. C) rimasta inimpugnata (doc. D), avendo respinto il ricorso interposto dall’assicurato contro la decisione 28 giugno 2011 della Cassa che respingeva l’opposi­­zione da lui formulata contro l’ordine di restituzione. Tale documentazione costituisce quindi in sé un valido titolo di rigetto definitivo dell’opposizione nel senso dell’art. 80 cpv. 2 n. 2 LEF per l’importo di fr. 8'244.10 posto in esecuzione.</w:t>
      </w:r>
    </w:p>
    <w:p>
      <w:r>
        <w:rPr>
          <w:b/>
        </w:rPr>
        <w:t>E. 6</w:t>
      </w:r>
    </w:p>
    <w:p>
      <w:r>
        <w:t>In virtù dell’art. 81 cpv. 1 LEF l’escusso può opporsi al rigetto definitivo ove provi con documenti che dopo la sentenza il debito è stato estinto o il termine per il pagamento è stato prorogato ovvero dimostri che è prescritto. Motivi di estinzione verificatisi prima e che sarebbero potuti essere sollevati già nella procedura che ha portato alla sentenza non possono più essere fatti valere in sede di rigetto (DTF 138 III 586 consid. 6.1.2; 135 III 320 consid. 2.5; sentenza della CEF 14.2015.14 del 23 marzo 2015 consid. 5.2).</w:t>
      </w:r>
    </w:p>
    <w:p>
      <w:r>
        <w:rPr>
          <w:b/>
        </w:rPr>
        <w:t>E. 6.1</w:t>
      </w:r>
    </w:p>
    <w:p>
      <w:r>
        <w:t>Sono ammissibili solo le eccezioni esplicitamente sollevate e dimostrate con documenti assolutamente chiari e univoci ( “mit völlig eindeutigen Urkunden”, cfr. DTF 115 III 100; sentenza della CEF 14.2004.101 del 27 gennaio 2005, consid. 5, con rimandi ). A differenza di quanto vale per il rigetto provvisorio (art. 82 cpv. 2 LEF), non è sufficiente rendere l’estinzione del credito semplicemente verosimile: il titolo di rigetto definitivo (art. 81 cpv. 1 LEF) creando la presunzione che il debito esiste, essa può essere rovesciata soltanto con la prova rigorosa del contrario. Non spetta al giudice, d’altronde, statuire su questioni giuridiche delicate o per la cui soluzione il potere d’apprezzamento gioca un ruolo importante (ad es. abuso di diritto, violazione delle regole della buo­na fede), la decisione in merito essendo riservata al giudice del merito (DTF 124 III 503 consid. 3a).</w:t>
      </w:r>
    </w:p>
    <w:p>
      <w:r>
        <w:rPr>
          <w:b/>
        </w:rPr>
        <w:t>E. 6.2</w:t>
      </w:r>
    </w:p>
    <w:p>
      <w:r>
        <w:t>RE 1 argomenta che il 22 settembre 2015 la procedente gli ha imposto la restituzione dell’importo globale e onnicomprensivo di fr. 1'690.–, alludendo così a una rinuncia della stessa alla differenza tra questo importo e quello indicato nella decisione del 2 maggio 2011. Ora è ben vero che nello scritto del 22 settembre 2015 la procedente, dopo aver evidenziato che “il 23 giugno 2015 il Tribunale federale ha confermato la decisione 2 maggio 2011 di restituzione della somma di fr. 8'244.10 percepita indebitamente (in realtà esso ha dichiarato inammissibile il ricorso interposto dall’assicurata contro la sentenza del TCA che respingeva la sua opposizione alla decisione di rifiuto di condono, v. doc. G e H), ha assegnato all’escusso un termine per provvedere alla restituzione di soli fr. 1'690.– (doc. 5). Non v’è motivo di dubbio però che ciò sia il frutto di un evidente e irrilevante errore di battitura (lapsus machinae) . Infatti, in quella lettera la procedente ha indicato per ben due volte la somma di fr. 8'244.10 da lei stabilita con la decisione del 22 settembre 2015 e confermato fino all’ultima istanza cantonale senza alludere ad alcun motivo per cui avrebbe inteso ridurre la propria pretesa. Appena due settimane dopo, la Cassa ha poi prontamente corretto la sua richiesta con uno scritto dell’8 ottobre 2015 esplicitamente volto ad annullare e sostituire quello precedente, con cui ha ribadito la sua intera pretesa tesa alla restituzione di fr. 8'244.10 (doc. I). A fronte anche dell’assenza di qualsiasi ulteriore elemento che possa far ritenere che la creditrice abbia rinunciato a una parte del suo credito, l’eccezione di RE 1 non meritava – e non merita tuttora – protezione.</w:t>
      </w:r>
    </w:p>
    <w:p>
      <w:r>
        <w:rPr>
          <w:b/>
        </w:rPr>
        <w:t>E. 6.3</w:t>
      </w:r>
    </w:p>
    <w:p>
      <w:r>
        <w:t>Il reclamante allega inoltre che dopo la notifica del precetto esecutivo un funzionario della procedente gli avrebbe suggerito di fare opposizione per permettere l’approvazione della sua proposta di rateazione. Sennonché con tale allegazione RE 1 ancora una volta allude solo alla concessione di una dilazione senza dimostrare di averla effettivamente ottenuta. Dalla sua stessa affermazione, rimasta peraltro allo stadio di puro parlato senza alcun supporto probatorio, risulta tutt’al più che la formulazione di un’opposizione fosse il presupposto per la futura concessione di una dilazione, ma neppure il reclamante pretende che la sua domanda di rateazione, anch’essa solo allegata ma non provata, sia stata accolta dalla Cassa. Tutto ciò non è evidentemente sufficiente per ritenere rigorosamente provata, come richiesto nella procedura di rigetto definitivo dell’opposizio­­ne (cfr. consid. 6), una proroga del termine di pagamento. La decisione impugnata va quindi confermata . Neppure la conclusione subordinata può infatti essere accolta, il giudice del rigetto non essendo abilitato a concedere una rateazione del pagamento del credito posto in esecuzione (ma solo ad accogliere o a respingere l’istanza). Una dilazione autoritativa può eventualmente entrare in considerazione solo allo stadio della realizzazione e alle condizioni dell’art. 123 LEF.</w:t>
      </w:r>
    </w:p>
    <w:p>
      <w:r>
        <w:rPr>
          <w:b/>
        </w:rPr>
        <w:t>E. 7</w:t>
      </w:r>
    </w:p>
    <w:p>
      <w:r>
        <w:t>La tassa del presente giudizio, stabilita in applicazione degli art. 48 e 61 cpv. 1 OTLEF (RS 281.35), segue la soccombenza (art. 106 cpv. 1 CPC). Non si pone invece problema di ripetibili, il reclamo non essendo stato notificato alla controparte per osservazioni. Circa i rimedi esperibili sul piano federale (art. 112 cpv. 1 lett. d LTF), il valore litigioso, di fr. 8'244.10, non raggiunge la soglia di fr. 30'000.– ai fini dell’art. 74 cpv. 1 lett. b LTF. Per questi motivi, pronuncia: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