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14.2016.128 vom 4. November 2016</w:t>
      </w:r>
    </w:p>
    <w:p>
      <w:r>
        <w:t>TI Tribunale d'appello, 2016-11-04, IT</w:t>
      </w:r>
    </w:p>
    <w:p>
      <w:r>
        <w:rPr>
          <w:b/>
        </w:rPr>
        <w:t xml:space="preserve">Quelle: </w:t>
      </w:r>
      <w:r>
        <w:t>https://mcp.opencaselaw.ch/entscheid/ti_gerichte_14.2016.128</w:t>
      </w:r>
    </w:p>
    <w:p>
      <w:r>
        <w:t>FR: TI_GERICHTE 14.2016.128 du 4 novembre 2016</w:t>
      </w:r>
    </w:p>
    <w:p>
      <w:r>
        <w:t>IT: TI_GERICHTE 14.2016.128 del 4 novembre 2016</w:t>
      </w:r>
    </w:p>
    <w:p>
      <w:pPr>
        <w:pStyle w:val="Heading2"/>
      </w:pPr>
      <w:r>
        <w:t>Regeste</w:t>
      </w:r>
    </w:p>
    <w:p>
      <w:r>
        <w:t>Opposizione al sequestro. Causa del sequestro. Nozione di titolo di rigetto definitivo dell’opposizione. Rigetto provvisorio diventato definitivo in seguito all’avvio tardivo dell’azione di disconoscimento di debito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La tassa del presente giudizio, stabilita in applicazione degli art. 48 e 61 cpv. 1 OTLEF (RS 281.35) , segue la soccombenza (art. 106 cpv. 2 CPC). Non si pone invece problema di ripetibili, il reclamo non essendo stato notificato alla controparte per osservazioni. Circa i rimedi esperibili sul piano federale (art. 112 cpv. 1 lett. d LTF), il valore litigioso, di fr. 1'125'000.–, supera agevolmente la soglia di fr. 30'000.– ai fini dell’art. 74 cpv. 1 lett. b LTF. Per questi motivi, pronuncia: 1. Il reclamo è respinto e la sentenza impugnata è confermata. 2. Le spese processuali di complessivi fr. 1'600.– relative al presente giudizio, già anticipate dalla reclamante, sono poste a suo carico. 3. Notificazione a: –; –. Comunicazione alla Pretura del Distretto di Lugano, sezione 5. Per la Camera di esecuzione e fallimenti del Tribunale d’appello Il presidente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LTF). Può essere fatta valere unicamente la violazione di diritti costituzionali (art. 98 LTF). Il termine non è sospeso durante le ferie giudiziarie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