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14.2015.89 vom 11. August 2015</w:t>
      </w:r>
    </w:p>
    <w:p>
      <w:r>
        <w:t>TI Tribunale d'appello, 2015-08-11, IT</w:t>
      </w:r>
    </w:p>
    <w:p>
      <w:r>
        <w:rPr>
          <w:b/>
        </w:rPr>
        <w:t xml:space="preserve">Quelle: </w:t>
      </w:r>
      <w:r>
        <w:t>https://mcp.opencaselaw.ch/entscheid/ti_gerichte_14.2015.89</w:t>
      </w:r>
    </w:p>
    <w:p>
      <w:r>
        <w:t>FR: TI_GERICHTE 14.2015.89 du 11 août 2015</w:t>
      </w:r>
    </w:p>
    <w:p>
      <w:r>
        <w:t>IT: TI_GERICHTE 14.2015.89 del 11 agosto 2015</w:t>
      </w:r>
    </w:p>
    <w:p>
      <w:pPr>
        <w:pStyle w:val="Heading2"/>
      </w:pPr>
      <w:r>
        <w:t>Regeste</w:t>
      </w:r>
    </w:p>
    <w:p>
      <w:r>
        <w:t>Rigetto definitivo dell’opposizione. Osservazioni all’istanza non prese in considerazione. Violazione del diritto di essere sentiti. Sanatoria</w:t>
      </w:r>
    </w:p>
    <w:p>
      <w:pPr>
        <w:pStyle w:val="Heading2"/>
      </w:pPr>
      <w:r>
        <w:t>Erwägungen</w:t>
      </w:r>
    </w:p>
    <w:p>
      <w:r>
        <w:rPr>
          <w:b/>
        </w:rPr>
        <w:t>E. 48</w:t>
      </w:r>
    </w:p>
    <w:p>
      <w:r>
        <w:t>lett. e n. 1 LOG) . 1.1 Pronunciata in procedura sommaria (art. 251 lett. a CPC), la decisione è impugnabile con reclamo entro dieci giorni dalla notificazione (art. 321 cpv. 2 CPC). Datato 21 aprile 2015 e consegnato alla posta il giorno successivo il reclamo contro la sentenza notificata alla convenuta il 20 aprile è in concreto senz’altro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ha ritenuto che la documentazione prodotta, e in particolare la decisione 29 gennaio 2015 del Pretore del Distretto di Lugano, costituisca valido titolo di rigetto definitivo dell’opposizione, e considerato che il termine per presentare le osservazioni assegnato alla parte convenuta era trascorso infruttuoso. 3. Nel reclamo l’escussa chiede che le sue osservazioni all’istanza di rigetto dell’opposizione vengano prese in considerazione, dal momento che le stesse sono state presentate entro il termine assegnatole dal Pretore. 4. E in effetti, come emerge dagli atti, e segnatamente dalla busta contenente tali osservazioni, esse sono state consegnate alla posta l’ultimo giorno del termine assegnato dal Pretore con ordinanza del 5 marzo 2015, ossia il 23 marzo. Non considerando ai fini del proprio giudizio le osservazioni tempestivamente presentate dall’escussa, il primo giudice ha dunque violato in modo evidente il diritto di essere sentita della RE 1. Sennonché anche in caso di grave violazione del diritto di essere sentiti occorre rinunciare all’annullamento della sentenza di primo grado e al rinvio dell’incarto a quel giudice, quando ciò si ridurrebbe a una mera formalità priva di contenuto, se non quello di generare ritardi inutili e incompatibili con l’interesse delle parti ad ottenere una decisione celermente (sentenza del Tribunale federale 4A_283/2013 del 20 agosto 2013) . Ora, nel caso specifico le osservazioni presentate dall’escussa in prima sede sono improponibili in una causa di rigetto definitivo dell’opposizione (v. sotto consid. 7), sicché la Camera , essendo l a causa matura per il giudizio, può statuire essa stessa senza rinviare l’incarto al primo giudice (art. 327 cpv. 3 lett. b CPC), mentre una tale retrocessione costituirebbe una formalità priva di senso. 5.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Sono parificate alle decisioni giudiziarie le decisioni di autorità amministrative svizzere (art. 80 cpv. 2. n. 2 LEF).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6. 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Nella fattispecie la decisione emessa il 29 gennaio 2015 dal Pretore del Distretto di Lugano, con la quale la RE 1 è stata condannata a pagare a CO 1 fr. 8'992.– , oltre agli interessi del 5% dal 1° agosto 2014, e fr. 700.– per ripetibili (doc. B), costituisce, come ritenuto dal primo giudice, titolo di rigetto definitivo dell’opposizione a favore del procedente per l’importo dedotto in esecuzione. 7. 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in: Basler Kommentar, SchKG I, 2 a ed. 2010, n. 5 ad art. 81 LEF). Nel caso specifico, tuttavia, nelle sue osservazioni all’istanza la RE 1 non si avvale di nessuna delle citate eccezioni, limitandosi ad argomentare, in sostanza, che nulla sarebbe dovuto al creditore, perché egli non avrebbe adempiuto i propri obblighi contrattuali . Tale censura risulta però irricevibile in questa sede, atteso che la convenuta avrebbe semmai dovuto proporla con impugnazione della sentenza del 29 gennaio 2015, dopo aver richiesto la motivazione scritta (art. 239 cpv. 2 CPC). La sentenza impugnata si avvera così corretta e va confermata. 8. La tassa del presente giudizio, stabilita in applicazione degli art. 48 e 61 cpv. 1 OTLEF (RS 281.35), segue la soccombenza (art. 106 cpv. 1 CPC). Non si assegnano ripetibili, la controparte non avendo dovuto presentare osservazioni al reclamo . Circa i rimedi esperibili sul piano federale (art. 112 cpv. 1 lett. d LTF), il valore litigioso, di fr. 9'692.–, non raggiunge la soglia di fr. 30'000.– ai fini dell’art. 74 cpv. 1 lett. b LTF. Per questi motivi, pronuncia: 1. Il reclamo è respinto e la sentenza impugnata è confermata. 2. La tassa di giustizia e le spese processuali di complessivi fr. 260.– relative al presente giudizio, già anticipate dalla reclamante, sono poste a suo carico. 3 .  Notificazione a: –; –a. Comunicazione alla Pretura del Distretto di Lugano, sezione 5.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