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14.2014.26 vom 16. Mai 2014</w:t>
      </w:r>
    </w:p>
    <w:p>
      <w:r>
        <w:t>TI Tribunale d'appello, 2014-05-16, IT</w:t>
      </w:r>
    </w:p>
    <w:p>
      <w:r>
        <w:rPr>
          <w:b/>
        </w:rPr>
        <w:t xml:space="preserve">Quelle: </w:t>
      </w:r>
      <w:r>
        <w:t>https://mcp.opencaselaw.ch/entscheid/ti_gerichte_14.2014.26</w:t>
      </w:r>
    </w:p>
    <w:p>
      <w:r>
        <w:t>FR: TI_GERICHTE 14.2014.26 du 16 mai 2014</w:t>
      </w:r>
    </w:p>
    <w:p>
      <w:r>
        <w:t>IT: TI_GERICHTE 14.2014.26 del 16 maggio 2014</w:t>
      </w:r>
    </w:p>
    <w:p>
      <w:pPr>
        <w:pStyle w:val="Heading2"/>
      </w:pPr>
      <w:r>
        <w:t>Regeste</w:t>
      </w:r>
    </w:p>
    <w:p>
      <w:r>
        <w:t>Rigetto definitivo dell'opposizione fondata su una decisione cautelare emessa "nelle more istruttorie" in procedura di modifica della sentenza di divorzio</w:t>
      </w:r>
    </w:p>
    <w:p>
      <w:pPr>
        <w:pStyle w:val="Heading2"/>
      </w:pPr>
      <w:r>
        <w:t>Erwägungen</w:t>
      </w:r>
    </w:p>
    <w:p>
      <w:r>
        <w:rPr>
          <w:b/>
        </w:rPr>
        <w:t>E. 1</w:t>
      </w:r>
    </w:p>
    <w:p>
      <w:r>
        <w:t>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n.1 LOG).</w:t>
      </w:r>
    </w:p>
    <w:p>
      <w:r>
        <w:rPr>
          <w:b/>
        </w:rPr>
        <w:t>E. 1.1</w:t>
      </w:r>
    </w:p>
    <w:p>
      <w:r>
        <w:t>Trattandosi di una decisione pronunciata in procedura sommaria (art. 251 lett. a CPC), il termine per l’inoltro del reclamo è di dieci giorni dalla notificazione (art. 321 cpv. 2 CPC). Presentato il 31 gennaio 2014 avverso la decisione notificata al convenuto il 27, il reclamo è senz’altro tempestivo.</w:t>
      </w:r>
    </w:p>
    <w:p>
      <w:r>
        <w:rPr>
          <w:b/>
        </w:rPr>
        <w:t>E. 1.2</w:t>
      </w:r>
    </w:p>
    <w:p>
      <w:r>
        <w:t>La Camera esamina solo le censure esplicitamente formulate e motivate in modo sufficiente, i requisiti al riguardo, che discendono dall’art. 321 cpv. 1 CPC, imponendo al reclamante di formulare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w:t>
      </w:r>
    </w:p>
    <w:p>
      <w:r>
        <w:rPr>
          <w:b/>
        </w:rPr>
        <w:t>E. 2</w:t>
      </w:r>
    </w:p>
    <w:p>
      <w:r>
        <w:t>Nella sentenza impugnata il Pretore del Distretto di Riviera ha constatato che la decisione “supercautelare” emessa il 23 agosto 2012 nella procedura di modifica della sentenza di divorzio avviata dall’escusso, che obbliga costui a versare a CO 1 e al figlio Nicolas un contributo alimentare mensile complessivo di fr. 1'400.–, costituisce un valido titolo di rigetto definitivo dell’opposizione, essendo la stessa immediatamente esecutiva e vincolante fino all’emanazione della decisione di modifica della sentenza di divorzio o della decisione cautelare.</w:t>
      </w:r>
    </w:p>
    <w:p>
      <w:r>
        <w:rPr>
          <w:b/>
        </w:rPr>
        <w:t>E. 3</w:t>
      </w:r>
    </w:p>
    <w:p>
      <w:r>
        <w:t>Davanti a questa Camera il reclamante ribadisce che il precetto esecutivo emesso nei suoi confronti si fonda su una decisione ancora pendente presso la Pretura di Bellinzona e chiede che la decisione supercautelare sia “bloccata” fino alla decisione della Pretura sulla sua richiesta di diminuzione del contributo alimentare. Da parte sua, CO 1 si limita a sottolineare di non aver ricevuto l’importo di fr. 1'400.– stabilito nella decisione del 23 agosto 2012.</w:t>
      </w:r>
    </w:p>
    <w:p>
      <w:r>
        <w:rPr>
          <w:b/>
        </w:rPr>
        <w:t>E. 4</w:t>
      </w:r>
    </w:p>
    <w:p>
      <w:r>
        <w:t>Per l’art. 80 cpv. 1 LEF quando il credito posto in esecuzione è fondato su una sentenza esecutiva, il creditore può chiedere in giudizio il rigetto definitivo dell’opposizione. La procedura di rigetto è una procedura fondata su prove documentali (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4.1</w:t>
      </w:r>
    </w:p>
    <w:p>
      <w:r>
        <w:t>Nel caso specifico, il reclamante non spiega perché la decisione 23 agosto 2012 del Pretore di Bellinzona – inesattamente qualifica come “supercautelare”, ove si ponga mente al fatto che il giudice ha sentito anche la parte convenuta all’udienza tenutasi lo stesso giorno (cfr. art. 265 CPC) – non sia da considerare un valido titolo di rigetto definitivo della sua opposizione. Non si tratta ad ogni modo di una decisione “ancora pendente”, bensì di un provvedimento cautelare destinato a regolare la questione del mantenimento di moglie e figlio durante l’istruttoria della causa di modifica della sentenza di divorzio. La decisione cautelare era (con effetto dal 1° settembre 2012) ed è tuttora esecutiva nel senso dell’art. 80 LEF (secondo i termini del Pretore “entra in vigore già nelle more istruttorie”), poiché è passata in giudicato (art. 336 cpv. 1 lett. a CPC) – giacché è inappellabile, essendo il valore litigioso, di fr. 5'600.–, inferiore al limite di legge di fr. 10'000.– (art. 308 cpv. 2, 319 lett. a e 325 cpv. 1 CPC) – e il reclamante non pretende di averla impugnata né di avere ottenuto che ne fosse sospesa l’esecutività (art. 325 cpv. 2 CPC) (cfr. Staehelin , in: Basler Kommentar, SchKG I, 2 a ed. 2010, n. 7 ad art. 80 LEF; Amonn/Walther , Grundriss des Schuldbetreibungs- und Konkursrechts, 9 a ed. 2013 , n. 32 ad §19). A scanso di equivoci, in effetti, si ricorda che a differenza dei provvedimenti supercautelari (DTF 137 III 419, consid. 1.3) le decisioni cautelari intermedie pronunciate in via provvisoria dopo l’audizione delle parti, come avvenuto nel caso specifico, non sono inoppugnabili (DTF 139 III 89 consid. 1.1.2).</w:t>
      </w:r>
    </w:p>
    <w:p>
      <w:r>
        <w:rPr>
          <w:b/>
        </w:rPr>
        <w:t>E. 4.2</w:t>
      </w:r>
    </w:p>
    <w:p>
      <w:r>
        <w:t>D’altronde, come ha rilevato il primo giudice, la decisione del 23 agosto 2012 rimarrà esecutiva fino al momento in cui verrà emessa la decisione di modifica della sentenza di divorzio oppure un’altra decisione cautelare (T rezzini in: Trezzini/Cocchi/Berna­sconi [curatori], Commentario al Codice di diritto processuale civile svizzero, 2011, pag. 1206; cfr. pure DTF 137 III 614 consid. 3.2.2; sentenza della CEF 14.2012.206 del 24 gennaio 2013, consid. 4.1).</w:t>
      </w:r>
    </w:p>
    <w:p>
      <w:r>
        <w:rPr>
          <w:b/>
        </w:rPr>
        <w:t>E. 4.3</w:t>
      </w:r>
    </w:p>
    <w:p>
      <w:r>
        <w:t>Per inciso va detto che una sospensione della decisione del 23 agosto 2012 non gioverebbe comunque al reclamante, perché in quel caso egli sarebbe tenuto a versare i contributi stabiliti nella sentenza di divorzio dell’11 aprile 2011, che risultano più elevati di quelli decretati dal Pretore il 23 agosto 2012.</w:t>
      </w:r>
    </w:p>
    <w:p>
      <w:r>
        <w:rPr>
          <w:b/>
        </w:rPr>
        <w:t>E. 5</w:t>
      </w:r>
    </w:p>
    <w:p>
      <w:r>
        <w:t>Il reclamo va così respinto e il giudizio impugnato confermato. Gli oneri processuali relativi al presente giudizio e le indennità seguono la soccombenza (art. 48, 61 cpv. 1 OTLEF e 106 cpv. 1 CPC). Circa i rimedi esperibili contro la presente sentenza sul piano federale (art. 112 cpv. 1 lett. d LTF), il valore litigioso, di fr. 5'600.–, non raggiunge la soglia di fr. 30'000.– ai fini dell’art. 74 cpv. 1 lett. b LTF. Per questi motivi, pronuncia: 1. Il reclamo è respinto e la decisione impugnata è confermata. 2. Le spese processuali di fr. 250.– relative al presente giudizio, già anticipate dal reclamante, sono poste a suo carico, con l’ob­bligo di rifondere a CO 1 fr. 150.– per ripetibili. 3. Notificazione a: – ; – __________ PA 1, __________. Comunicazione alla Pretura del Distretto di Riviera.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