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14.2014.227 vom 12. Februar 2015</w:t>
      </w:r>
    </w:p>
    <w:p>
      <w:r>
        <w:t>TI Tribunale d'appello, 2015-02-12, IT</w:t>
      </w:r>
    </w:p>
    <w:p>
      <w:r>
        <w:rPr>
          <w:b/>
        </w:rPr>
        <w:t xml:space="preserve">Quelle: </w:t>
      </w:r>
      <w:r>
        <w:t>https://mcp.opencaselaw.ch/entscheid/ti_gerichte_14.2014.227</w:t>
      </w:r>
    </w:p>
    <w:p>
      <w:r>
        <w:t>FR: TI_GERICHTE 14.2014.227 du 12 février 2015</w:t>
      </w:r>
    </w:p>
    <w:p>
      <w:r>
        <w:t>IT: TI_GERICHTE 14.2014.227 del 12 febbraio 2015</w:t>
      </w:r>
    </w:p>
    <w:p>
      <w:pPr>
        <w:pStyle w:val="Heading2"/>
      </w:pPr>
      <w:r>
        <w:t>Regeste</w:t>
      </w:r>
    </w:p>
    <w:p>
      <w:r>
        <w:t>Rigetto provvisorio dell’opposizione. Perenzione dell’esecuzione</w:t>
      </w:r>
    </w:p>
    <w:p>
      <w:pPr>
        <w:pStyle w:val="Heading2"/>
      </w:pPr>
      <w:r>
        <w:t>Erwägungen</w:t>
      </w:r>
    </w:p>
    <w:p>
      <w:r>
        <w:rPr>
          <w:b/>
        </w:rPr>
        <w:t>E. 3</w:t>
      </w:r>
    </w:p>
    <w:p>
      <w:r>
        <w:t>Nel reclamo RE 1, ricordato il genere dei rapporti – l’uno di locazione, l’altro lavorativo – creatisi con __________ e rievocata la diffida da lui ricevuta il 2 ottobre 2012, che è successivamente sfociata nell’esecuzione avviata contro lei e il marito, nel frattempo anche lui defunto, solleva l’eccezione di perenzione della procedura esecutiva ai sensi dell’art. 88 cpv. 2 LEF. A suo dire, dalla notifica del precetto esecutivo alla procedura di rigetto dell’opposizione sarebbe trascorso ben più di un anno, donde l’impossibilità di continuare la procedura avviata. Infine, la reclamante prospetta la possibilità di trovare un accordo transattivo alfine di chiarire le varie posizioni di dare e avere ancora esistenti tra le parti.</w:t>
      </w:r>
    </w:p>
    <w:p>
      <w:r>
        <w:rPr>
          <w:b/>
        </w:rPr>
        <w:t>E. 4</w:t>
      </w:r>
    </w:p>
    <w:p>
      <w:r>
        <w:t>In virtù dell’art. 82 LEF, il giudice pronuncia il rigetto provvisorio dell’opposizione ove il credito posto in esecuzione sia fondato su un riconoscimento di debito constatato mediante atto pubblico o scrittura privata (cpv. 1), a meno che l’escusso sollevi e giustifichi immediatamente eccezioni tali da infirmare il riconoscimento di debito (cpv. 2). La procedura di rigetto è una procedura documentale (Aktenprozess) , il cui scopo non è di accertare l’esisten­­za del credito posto in esecuzione bensì l’esistenza di un titolo esecutivo. Il giudice verifica solo la forza probatoria del titolo prodotto dal creditore – la sua natura formale – e vi conferisce forza esecutiva ove l’escusso non renda immediatamente verosimili eccezioni liberatorie (DTF 132 III 142 consid. 4.1.1). La decisione di rigetto provvisorio spiega solo effetti di diritto esecutivo, senza regiudicata quanto all’esistenza del credito (DTF 136 III 587 consid. 2.3). Il pronunciato, quindi, non priva le parti del diritto di sottoporre nuovamente il litigio al giudice ordinario (art. 79 o 83 cpv. 2 LEF; DTF 136 III 530 consid. 3.2).</w:t>
      </w:r>
    </w:p>
    <w:p>
      <w:r>
        <w:rPr>
          <w:b/>
        </w:rPr>
        <w:t>E. 5</w:t>
      </w:r>
    </w:p>
    <w:p>
      <w:r>
        <w:t>In ogni stadio di causa (quindi anche in sede di reclamo), il giudice esamina d’ufficio, a prescindere dalle allegazioni delle parti, se la documentazione prodotta costituisce valido titolo di rigetto dell’opposizione e se vi è identità tra l’escutente indicato sul precetto esecutivo (e nell’istanza) e il creditore designato nel titolo, tra l’escusso e il debitore menzionato nel titolo e tra la pretesa posta in esecuzione e il debito accertato o riconosciuto. Il giudice appura anche d’ufficio se l’esecuzione è manifestamente perenta o nulla. Per contro non può rilevare un vizio della procedura di esecuzione di cui l’interessato deve prevalersi tramite ricorso all’autorità di vigilanza (DTF 139 III 447 consid. 4.1.1).</w:t>
      </w:r>
    </w:p>
    <w:p>
      <w:r>
        <w:rPr>
          <w:b/>
        </w:rPr>
        <w:t>E. 5.1</w:t>
      </w:r>
    </w:p>
    <w:p>
      <w:r>
        <w:t>G iusta l’art. 88 cpv. 2 LEF il diritto di chiedere la continuazione dell’esecuzione si estingue decorso un anno dalla notificazione del precetto esecutivo, il termine rimanendo sospeso in particolare tra il giorno in cui è stata promossa l’azione di rigetto dell’op­­posizione e quello della sua definizione. Di principio, spetta all’autorità di vigilanza stabilire se l’esecuzione sia o meno perenta. Come visto (sopra, consid. 5), tale eccezione è tuttavia ricevibile nella procedura di rigetto dell’opposizione quando la perenzione è evidente, ossia quando l’estinzione dell’esecuzione è manifesta (DTF 125 III 45 consid. 3a; sentenza del Tribunale federale 5A_600/2008 del 15 dicembre 2008, consid. 2, Staehelin in: Basler Kommentar, SchKG I, 2 a ed. 2010, n. 13 ad art. 84 LEF , con rif.; Gilliéron , Commentaire de la LP, vol. I, Losanna 1999, n. 80 ad art. 82 LEF e n. 48 i.f. ad art. 88 LEF).</w:t>
      </w:r>
    </w:p>
    <w:p>
      <w:r>
        <w:rPr>
          <w:b/>
        </w:rPr>
        <w:t>E. 5.2</w:t>
      </w:r>
    </w:p>
    <w:p>
      <w:r>
        <w:t>Nel caso specifico l’eccezione di perenzione sollevata da RE 1 può pertanto essere esaminata da questa Camera, la stessa apparendo di primo acchito evidente. Non sussiste, infatti, alcun dubbio sul fatto che la domanda di rigetto dell’opposizione del 3 ottobre 2014 è stata presentata a distanza di quasi due anni dal giorno della notifica del precetto esecutivo, avvenuta il 18 dicembre 2012 (doc. C). In particolare, non risulta dagli atti – né gli istanti pretendono – che sia stata avviata una procedura di rigetto prima di quella in oggetto, tale da giustificare una sospensione del termine di un anno previsto dall’art. 88 cpv. 2 LEF. Non spetta alla reclamante, ad ogni modo, di dimostrare che il termine in questione non è scaduto, l’onere di tale prova gravando al riguardo sugli istanti ( cfr. DTF 106 III 49, pag. 50; Amonn/Wal­ther , Grundriss des Schuldbetreibungs- und Konkursrechts, 9 a ed. 2013, n. 11 ad § 22 ; Gilliéron , op. cit., n. 48 ad art. 88, Schmidt, in: Commentaire romand, Poursuite et faillite, 2005, n. 8 ad art. 88 LEF). Ne discende che la manifesta perenzione dell’esecuzione avviata nei confronti della reclamante comporta l’annullamento della sentenza impugnata e la conseguente reiezione dell’istanza di rigetto dell’opposizione. Donde l’accoglimen­­to del reclamo.</w:t>
      </w:r>
    </w:p>
    <w:p>
      <w:r>
        <w:rPr>
          <w:b/>
        </w:rPr>
        <w:t>E. 6</w:t>
      </w:r>
    </w:p>
    <w:p>
      <w:r>
        <w:t>Per quanto riguarda le spese esecutive, le stesse non sono decise dal giudice del rigetto, bensì dall’ufficio d’esecuzione con competenza esclusiva (v. art. 68 LEF; DTF 85 III 128; sentenze della CEF 14.2002.77 del 27 gennaio 2003 consid. 3.5 e 15.2012.16 del 28 febbraio 2012). Il Pretore aggiunto è pertanto incorso in un errore nel decidere che tali spese andavano a carico dell’e­­scussa.</w:t>
      </w:r>
    </w:p>
    <w:p>
      <w:r>
        <w:rPr>
          <w:b/>
        </w:rPr>
        <w:t>E. 7</w:t>
      </w:r>
    </w:p>
    <w:p>
      <w:r>
        <w:t>La tassa del presente giudizio e le ripetibili, stabilite in applicazione rispettivamente degli art. 48 e 61 cpv. 1 OTLEF (RS 281.35) da una parte e 15 RTar (RL 3.1.1.7.1) dall’altra, seguono la soccombenza (art. 106 cpv. 1 CPC). Circa i rimedi esperibili sul piano federale (art. 112 cpv. 1 lett. d LTF), il valore litigioso, di fr. 13'402.05, non raggiunge la soglia di fr. 30'000.– ai fini dell’art. 74 cpv. 1 lett. b LTF. Per questi motivi, pronuncia: 1. Il reclamo è accolto e di conseguenza i dispositivi n. 1 e 2 della decisione impugnata sono così riformati: 1.   L’istanza è respinta. 2.   Le spese e la tassa di giustizia per complessivi fr. 320.–, da anticipare dagli istanti, sono poste a loro carico in solido, con l’obbligo di rifondere a controparte, sempre con vincolo di solidarietà, fr. 200.– per ripetibili. 2. Le spese processuali di complessivi fr. 300.– relative al presente giudizio, già anticipate dalla reclamante, sono poste in solido a carico di CO 1, CO 2 e CO 3, che rifonderanno a RE 1, sempre con vincolo di solidarietà , fr. 200.– per ripetibili. 3. Notificazione a: –  , – – . Comunicazione alla Pretura della giurisdizione di Mendrisio-Sud.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