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14.2014.159 vom 28. November 2014</w:t>
      </w:r>
    </w:p>
    <w:p>
      <w:r>
        <w:t>TI Tribunale d'appello, 2014-11-28, IT</w:t>
      </w:r>
    </w:p>
    <w:p>
      <w:r>
        <w:rPr>
          <w:b/>
        </w:rPr>
        <w:t xml:space="preserve">Quelle: </w:t>
      </w:r>
      <w:r>
        <w:t>https://mcp.opencaselaw.ch/entscheid/ti_gerichte_14.2014.159</w:t>
      </w:r>
    </w:p>
    <w:p>
      <w:r>
        <w:t>FR: TI_GERICHTE 14.2014.159 du 28 novembre 2014</w:t>
      </w:r>
    </w:p>
    <w:p>
      <w:r>
        <w:t>IT: TI_GERICHTE 14.2014.159 del 28 novembre 2014</w:t>
      </w:r>
    </w:p>
    <w:p>
      <w:pPr>
        <w:pStyle w:val="Heading2"/>
      </w:pPr>
      <w:r>
        <w:t>Regeste</w:t>
      </w:r>
    </w:p>
    <w:p>
      <w:r>
        <w:t>Rigetto definitivo dell’opposizione. Divieto di nova in sede di reclamo. Mancata prova della notificazione di un decreto comunale di multa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a: –  ; – Comunicazione alla Giudicatura di pace del Ticino. Per la Camera di esecuzione e fallimenti del Tribunale d’appello Il presidente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