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14.2013.187 vom 2. März 2015</w:t>
      </w:r>
    </w:p>
    <w:p>
      <w:r>
        <w:t>TI Tribunale d'appello, 2015-03-02, IT</w:t>
      </w:r>
    </w:p>
    <w:p>
      <w:r>
        <w:rPr>
          <w:b/>
        </w:rPr>
        <w:t xml:space="preserve">Quelle: </w:t>
      </w:r>
      <w:r>
        <w:t>https://mcp.opencaselaw.ch/entscheid/ti_gerichte_14.2013.187</w:t>
      </w:r>
    </w:p>
    <w:p>
      <w:r>
        <w:t>FR: TI_GERICHTE 14.2013.187 du 2 mars 2015</w:t>
      </w:r>
    </w:p>
    <w:p>
      <w:r>
        <w:t>IT: TI_GERICHTE 14.2013.187 del 2 marzo 2015</w:t>
      </w:r>
    </w:p>
    <w:p>
      <w:pPr>
        <w:pStyle w:val="Heading2"/>
      </w:pPr>
      <w:r>
        <w:t>Regeste</w:t>
      </w:r>
    </w:p>
    <w:p>
      <w:r>
        <w:t>Rigetto definitivo dell’opposizione. Reclamo. Fallimento dell’escutente in corso di procedura. Stralcio del reclamo dopo la pubblicazione della continuazione della procedura di fallimento. Spese poste a carico del reclamante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 400.– è posta a carico della reclamante.</w:t>
      </w:r>
    </w:p>
    <w:p>
      <w:r>
        <w:rPr>
          <w:b/>
        </w:rPr>
        <w:t>E. 3</w:t>
      </w:r>
    </w:p>
    <w:p>
      <w:r>
        <w:t>.   Notificazione a: – __________ ; –  avv. PA 1, __________, __________, __________; –avv. PA 2, __________. Comunicazione alla Pretura del Distretto di Lugano, sezione 5. Per la Camera di esecuzione e fallimenti del Tribunale d’appello Il presidente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