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14.2012.93 vom 6. August 2012</w:t>
      </w:r>
    </w:p>
    <w:p>
      <w:r>
        <w:t>TI Tribunale d'appello, 2012-08-06, IT</w:t>
      </w:r>
    </w:p>
    <w:p>
      <w:r>
        <w:rPr>
          <w:b/>
        </w:rPr>
        <w:t xml:space="preserve">Quelle: </w:t>
      </w:r>
      <w:r>
        <w:t>https://mcp.opencaselaw.ch/entscheid/ti_gerichte_14.2012.93</w:t>
      </w:r>
    </w:p>
    <w:p>
      <w:r>
        <w:t>FR: TI_GERICHTE 14.2012.93 du 6 août 2012</w:t>
      </w:r>
    </w:p>
    <w:p>
      <w:r>
        <w:t>IT: TI_GERICHTE 14.2012.93 del 6 agosto 2012</w:t>
      </w:r>
    </w:p>
    <w:p>
      <w:pPr>
        <w:pStyle w:val="Heading2"/>
      </w:pPr>
      <w:r>
        <w:t>Regeste</w:t>
      </w:r>
    </w:p>
    <w:p>
      <w:r>
        <w:t>Riconoscimento di debito firmato dal rappresentante. Prova del potere di rappresentanza</w:t>
      </w:r>
    </w:p>
    <w:p>
      <w:pPr>
        <w:pStyle w:val="Heading2"/>
      </w:pPr>
      <w:r>
        <w:t>Erwägungen</w:t>
      </w:r>
    </w:p>
    <w:p>
      <w:r>
        <w:rPr>
          <w:b/>
        </w:rPr>
        <w:t>E. 1</w:t>
      </w:r>
    </w:p>
    <w:p>
      <w:r>
        <w:t>Secondo l’art. 319 lett. a CPC, sono impugnabili mediante reclamo, tra l’altro, le decisioni inappellabili di prima istanza finali.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15 giugno 2012 a fronte di una decisione emessa in data 31 maggio 2012 e notificata il 5 giugno 2012, il rimedio risulta tempestivo e, quindi, sotto questo profilo, ammissibile.</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 1989, p. 338 con riferimenti). La volontà di obbligarsi può anche risultare da un atto pubblico redatto nelle forme stabilite dal diritto cantonale, come per esempio le cartelle ipotecarie (cfr. Cometta , op. cit., p. 337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op. cit., § 1 n. 7 p. 3; cfr. anche DTF 132 III 480 consid. 4.1 pag. 481).</w:t>
      </w:r>
    </w:p>
    <w:p>
      <w:r>
        <w:rPr>
          <w:b/>
        </w:rPr>
        <w:t>E. 6</w:t>
      </w:r>
    </w:p>
    <w:p>
      <w:r>
        <w:t>In via di principio può essere concesso il rigetto provvisorio nei confronti del rappresentato sulla base di un riconoscimento di debito firmato dal rappresentante. Dalla dichiarazione si deve poter evincere che il rappresentante ha agito per il rappresentato, nel qual caso è sufficiente, se il creditore poteva dedurre dalle circostanze il rapporto di rappresentanza (art. 32 cpv. 2 CO). Controversa è la questione a sapere come deve essere provato il potere di rappresentanza di un rappresentante designato. Secondo la giurisprudenza di alcuni cantoni e secondo alcuni autori il potere di rappresentanza deve essere provato con documenti o deve essere almeno notorio, mentre secondo l’opinione di altri autori, che è stata dichiarata dal Tribunale federale non arbitraria, la procura può essere dimostrata anche tramite atti concludenti del debitore (DTF 132 III 140 cons. 4.1; 130 III 87 cons. 3.1; 112 III 149 cons. 4.1). In questo caso deve essere differenziato tra le questioni a sapere, quando sussiste un rapporto di rappresentanza secondo il diritto civile e quali mezzi di prova sono permessi nella procedura di rigetto. La procura può, secondo il diritto civile, anche basarsi su atti concludenti. Questi devono però essere dimostrati con i mezzi di prova permessi nella procedura sommaria, il che di regola è possibile solo con documenti. In tal caso questi documenti non devono essere firmati dal rappresentato, e la firma del rappresentante è sufficiente. Questi documenti devono però dimostrare il rapporto di rappresentanza in modo chiaro e liquido ( Staehelin , op. cit., n. 57 ad art. 82 e rif. ivi). Gli stessi principi valgono per la rappresentanza di una persona giuridica iscritta a Registro di commercio. Il riconoscimento di debito deve essere sottoscritto da una persona autorizzata a rappresentarla. Nel caso in cui il rapporto di rappresentanza non è iscritto a Registro di commercio, quest’ultimo deve essere dimostrato dal creditore tramite documenti, nel qual caso anche l’esistenza di una procura concludente o circostanze nel senso dell’art. 32 cpv. 2 CO possono essere dimostrate con documenti ( Staehelin , op. cit. n. 59 ad art. 82 e rif. Ivi).</w:t>
      </w:r>
    </w:p>
    <w:p>
      <w:r>
        <w:rPr>
          <w:b/>
        </w:rPr>
        <w:t>E. 7</w:t>
      </w:r>
    </w:p>
    <w:p>
      <w:r>
        <w:t>Il contratto n. 2250610 (doc. D) e i contratti aggiuntivi di cui ai doc. F, J e L risultano tutti sottoscritti per l’escussa da __________, i protocolli di accettazione (doc. E, G, M) e il contratto aggiuntivo del 12 gennaio 2011 (doc. H) recano firme illeggibili mentre le e-mail di cui ai doc. N, O, P sono state allestite da __________. Orbene, determinante è che dal Registro di commercio (doc. 1) emerge che __________, firmatario dei predetti contratti, e __________ che ha allestito le comunicazioni di posta elettronica agli atti non sono mai stati legittimati a rappresentare, individualmente o collettivamente, la CO 1. Di fronte alle contestazioni sollevate dalla convenuta, l’istante non ha dimostrato il rapporto di rappresentanza tra quest’ultima e __________ rispettivamente __________ tramite documenti, nel qual caso anche una procura concludente o circostanze nel senso dell’art. 32 cpv. 2 CO avrebbero potuto essere sufficienti, ma non la sola circostanza che determinati contratti rechino il timbro dell’escussa e le e-mail agli atti sarebbero stati allestiti negli uffici dell’escussa, non essendo in concreto rilevante la questione a sapere se queste persone operino effettivamente in seno alla CO 1. Agli atti neppure figurano documenti oppure dichiarazioni concludenti di persone abilitate a rappresentare l’escussa dai quali si possa desumere il pagamento di acconti riferiti ai suddetti contratti, che potrebbero essere interpretati alla stregua di una ratifica per atti concludenti dell’operato di __________ in rappresentanza di CO 1. Tenuto conto che nella procedura di rigetto dell’opposizione i poteri di rappresentanza devono risultare sufficientemente liquidi, l’istante avrebbe dovuto fondare la propria domanda su altri e ben più concreti riscontri non potedole portare neppure ausilio la circostanza che il __________ avrebbe ricevuto in copia tutto lo scambio di corrispondenza elettronica intercorso, atteso che, a prescindere dalla circostanza che non è necessariamente scontato che dall’omissione di una sua presa di posizione si possa dedurre la ratifica per atti concludenti dell’operato di __________, egli non avrebbe potuto vincolare che collettivamente la società. Ne discende che ritenere, come ha deciso il Pretore, che agli atti non si trova un valido riconoscimento di debito di CO 1 a favore dell’istante, non può essere considerata quale applicazione errata del diritto.</w:t>
      </w:r>
    </w:p>
    <w:p>
      <w:r>
        <w:rPr>
          <w:b/>
        </w:rPr>
        <w:t>E. 8</w:t>
      </w:r>
    </w:p>
    <w:p>
      <w:r>
        <w:t>Da quanto precede ne consegue che il reclamo va respinto . La tassa di giustizia, le spese processuali e le indennità seguono la soccombenza (art. 95 cpv. 2 e 3, 105 cpv. 1 e 2, 106 cpv. 1 CPC). Per i quali motivi, richiamati gli art. 82 cpv. 1 e 2 LEF; 32 cpv. 2 CO; 95 cpv. 2 e 3, 105 cpv. 1 e 2, 106 cpv. 1, 251, 254 cpv. 1, 309, 319, 320, 321 cpv. 2 CPC; pronuncia: 1. Il reclamo è respinto. 2. La tassa di giustizia e le spese processuali per complessivi fr 800.00, anticipate dalla reclamante, sono poste a suo carico, con l’obbligo di rifondere a CO 1 fr. 2’000.00 a titolo di ripetibili. 3. Notificazione a: - , - Comunicazione alla Pretura del Distretto di ____________________. Per la Camera di esecuzione e fallimenti del Tribunale d’appello Il presidente                                                                           Il segretario Giacché il valore litigioso della vertenza è di fr. 447'334.25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