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14.2012.27 vom 15. Februar 2012</w:t>
      </w:r>
    </w:p>
    <w:p>
      <w:r>
        <w:t>TI Tribunale d'appello, 2012-02-15, IT</w:t>
      </w:r>
    </w:p>
    <w:p>
      <w:r>
        <w:rPr>
          <w:b/>
        </w:rPr>
        <w:t xml:space="preserve">Quelle: </w:t>
      </w:r>
      <w:r>
        <w:t>https://mcp.opencaselaw.ch/entscheid/ti_gerichte_14.2012.27</w:t>
      </w:r>
    </w:p>
    <w:p>
      <w:r>
        <w:t>FR: TI_GERICHTE 14.2012.27 du 15 février 2012</w:t>
      </w:r>
    </w:p>
    <w:p>
      <w:r>
        <w:t>IT: TI_GERICHTE 14.2012.27 del 15 febbraio 2012</w:t>
      </w:r>
    </w:p>
    <w:p>
      <w:pPr>
        <w:pStyle w:val="Heading2"/>
      </w:pPr>
      <w:r>
        <w:t>Erwägungen</w:t>
      </w:r>
    </w:p>
    <w:p>
      <w:r>
        <w:rPr>
          <w:b/>
        </w:rPr>
        <w:t>E. 3</w:t>
      </w:r>
    </w:p>
    <w:p>
      <w:r>
        <w:t>CPC);</w:t>
      </w:r>
    </w:p>
    <w:p>
      <w:r>
        <w:t>che trattandosi di unimpugnazione contro unadecisione pronunciata in procedura sommaria (art. 251 lett. a CPC), il termine per linoltro del reclamo è di dieci giorni (art. 321 cpv. 2 CPC);</w:t>
      </w:r>
    </w:p>
    <w:p>
      <w:r>
        <w:t>che proposto il 21 febbraio a fronte di una decisione intimata il 15 febbraio 2012 il  rimedio risulta tempestivo e quindi, sotto questo profilo, ammissibile;</w:t>
      </w:r>
    </w:p>
    <w:p>
      <w:r>
        <w:t>che in base allart. 320 CPC con il reclamo possono essere censurati a., lapplicazione errata del diritto, b. laccertamento manifestamente errato dei fatti,</w:t>
      </w:r>
    </w:p>
    <w:p>
      <w:r>
        <w:t>che in virtù dellart. 82 cpv. 1 LEF se il credito si fonda sopra un riconoscimento di debito constatato mediante atto pubblico o scrittura privata, il creditore può chiedere il rigetto provvisorio dellopposizione;</w:t>
      </w:r>
    </w:p>
    <w:p>
      <w:r>
        <w:t>che al fine di poter essere considerata un riconoscimento deldebito, una scrittura privata deve essere firmata dallescusso   - o dal suo rappresentante - e deve contenere la volontà di pagare al creditore procedente, senza riserve o condizioni, un importo di denaro determinato o facilmente determinabile, ritenuto che il riconoscimento di debito può anche essere dedotto da un insieme di documenti, se da essi risultano gli elementi necessari (DTF 132 III 480 consid. 4.1 con rinvii);</w:t>
      </w:r>
    </w:p>
    <w:p>
      <w:r>
        <w:t>che, come correttamente rilevato dal Giudice di pace, nessuno dei documenti agli atti costituisce riconoscimento di debito ex art. 82 cpv. 1 LEF, ossia la volontà da parte del convenuto di pagare i singoli importi pretesi dalla procedente, tale prerogativa non potendo essere individuata nelle tre fatture prodotte in occasione del (previo) tentativo di conciliazione avviato, senza successo, dalla parte istante e dal susseguente scambio di corrispondenza che ne è derivato;</w:t>
      </w:r>
    </w:p>
    <w:p>
      <w:r>
        <w:t>che per incassare il proprio presunto credito listante è perciò tenuta a far capo alla procedura semplificata (di merito) di cui agli art.  243 e segg. CPC;</w:t>
      </w:r>
    </w:p>
    <w:p>
      <w:r>
        <w:t>che ne discende pertanto la reiezione del reclamo;</w:t>
      </w:r>
    </w:p>
    <w:p>
      <w:r>
        <w:t>che gli oneri processuale relativi al presente giudizio seguono la soccombenza, ossia sono posti a carico della reclamante;</w:t>
      </w:r>
    </w:p>
    <w:p>
      <w:r>
        <w:t>per questi motivi,</w:t>
      </w:r>
    </w:p>
    <w:p>
      <w:r>
        <w:t>pronuncia:</w:t>
      </w:r>
    </w:p>
    <w:p>
      <w:r>
        <w:t>Per la Camera di esecuzione e fallimenti del Tribunale dappello</w:t>
      </w:r>
    </w:p>
    <w:p>
      <w:r>
        <w:t>Il presidente                                                                             La segretaria</w:t>
      </w:r>
    </w:p>
    <w:p>
      <w:r>
        <w:t>Giacché il valore litigioso della vertenza, di fr. 3'632.10, non raggiunge il limite di legge di fr. 30000.-, contro la presente decisione è possibile presentare ricorso in materia civile al Tribunale federale, 1000 Losana 14, entro 30 giorni dalla notificazione, solo se la controversia concerne una questione di diritto di importanza fondamentale (art. 74 cpv. 2 lett. a LTF).</w:t>
      </w:r>
    </w:p>
    <w:p>
      <w:r>
        <w:t>Nello stesso termine è possibile proporre al Tribunale federale, 1000 Losanna 14, anche ricorso sussidiario in materia costituzionale (art. 113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