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14.2012.140 vom 23. Oktober 2012</w:t>
      </w:r>
    </w:p>
    <w:p>
      <w:r>
        <w:t>TI Tribunale d'appello, 2012-10-23, IT</w:t>
      </w:r>
    </w:p>
    <w:p>
      <w:r>
        <w:rPr>
          <w:b/>
        </w:rPr>
        <w:t xml:space="preserve">Quelle: </w:t>
      </w:r>
      <w:r>
        <w:t>https://mcp.opencaselaw.ch/entscheid/ti_gerichte_14.2012.140</w:t>
      </w:r>
    </w:p>
    <w:p>
      <w:r>
        <w:t>FR: TI_GERICHTE 14.2012.140 du 23 octobre 2012</w:t>
      </w:r>
    </w:p>
    <w:p>
      <w:r>
        <w:t>IT: TI_GERICHTE 14.2012.140 del 23 ottobre 2012</w:t>
      </w:r>
    </w:p>
    <w:p>
      <w:pPr>
        <w:pStyle w:val="Heading2"/>
      </w:pPr>
      <w:r>
        <w:t>Regeste</w:t>
      </w:r>
    </w:p>
    <w:p>
      <w:r>
        <w:t>Riconoscimento di debito. Accordo viziato da timore rispettivamente lesione. Nullità, trattandosi di un contratto che viola il divieto di usura previsto dall'art. 157 CP</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in Rep 1989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 Staehelin , Basler Kommentar zum SchKG, vol. I, 2. ed. 2010, n. 25 ad art. 82 LEF). La documentazione prodotta (in particolare i conteggi e altri computi numerici) deve permettere una chiara e immediata ricostruzione dei movimenti contabili di dare e avere tra le parti fino a giungere all’importo finale posto in esecuzione: una indagine approfondita di natura contabile sfugge al potere di cognizione del giudice del rigetto ( Cometta , op. cit. in, p. 339). Come ritenuto in sede pretorile, l’accordo del 23 febbraio 2012, con cui l’escusso, nell’ambito del riconoscimento di un debito complessivo di fr. 500'000.--, si è obbligato a versare all’istante una rata di fr. 50'000.-- entro il 29 febbraio 2012, costituisce, in via di principio, un riconoscimento di debito ai sensi dell’art. 82 cpv. 1 LEF.</w:t>
      </w:r>
    </w:p>
    <w:p>
      <w:r>
        <w:rPr>
          <w:b/>
        </w:rPr>
        <w:t>E. 6</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Staehelin, op. cit., n. 87 seg. ad art. 82 LEF; Gilliéron , op. cit., vol. II, n. 82 ad art. 82). L’escusso può liberarsi, se rende verosimile che il suo obbligo è viziato da timore (art. 29 CO) o da lesione (art. 21 CO) (cfr,. Staehelin, op. cit., n. 97 ad art. 82 LEF; Panchaud/Caprez, op. cit., § 33 III e V pag. 73 ss.)</w:t>
      </w:r>
    </w:p>
    <w:p>
      <w:r>
        <w:rPr>
          <w:b/>
        </w:rPr>
        <w:t>E. 7</w:t>
      </w:r>
    </w:p>
    <w:p>
      <w:r>
        <w:t>L’escusso ha dichiarato in sede pretorile di avere sottoscritto il predetto accordo poiché oggetto di minacce proferite sia nei suoi confronti, sia nei confronti dei propri famigliari e di essere stato coinvolto in un giro di usura, iniziato quando ha chiesto in prestito una prima somma di poche miglia di franchi nel 2008, allorquando si è trovato in difficoltà finanziarie (cfr. verbale dell’udienza di discussione del 5 settembre 2012, pag. 1). Giuridicamente il convenuto ha eccepito la non validità del contratto in esame quale riconoscimento di debito in seguito a timore ai sensi dell’art. 29 CO rispettivamente a lesione ai sensi dell’art. 21 CO rispettivamente fa valere la sua nullità trattandosi di un contratto contrario alle leggi ai sensi dell’art. 20 CO. Dal testo dell’accordo doc. B emerge quanto segue: “Con il versamento a RE 1 di una rata pari a CHF 50'000.-- (cinquantamila) da effettuare affinché il montante sia sul conto bancario indicato ad hoc da RE 1 entro il 29 febbraio 2012__________ dichiara di accettare le seguenti condizioni di pagamento e la pretesa totale di RE 1, che a sua volta garantisce di attendere i termini di pagamento senza assilli e pesanti minacce ulteriori nei confronti di CO 1, della sua cerchia di famigliari e amici, nonché della sua sfera lavorativa, pena l’immediata denuncia penale nei suoi confronti, avvalendosi pure di tutto quanto successo e documentabile fino ad oggi. Immediatamente alla consegna del citato importo RE 1 restituisce la licenza di circolazione dell’auto Opel Astra estorta a CO 1 e cancella precedenti relativi accordi.” Contrariamente a quanto ritenuto dal Pretore, secondo il quale l’escusso al momento della firma dell’accordo in esame non sarebbe più stato condizionato da minacce, dagli atti non emerge alcun indizio che il timore asserito era scomparso. La consapevolezza da parte del convenuto che solo con il pagamento della prima rata e l’accettazione della pretesa totale di fr. 500'000.--, di cui non si ritiene debitore, sarebbe stato libero da “assilli” e “pesanti minacce” comporta di per sé uno stato continuato di timore, dimostrato inoltre dal fatto, che secondo l’accordo, solo a condizione della consegna del citato importo gli sarebbe stata restituita la licenza di circolazione dell’auto Opel Astra a lui estorta e sarebbero stati cancellati i precedenti accordi (cfr. DTF 84 II 621).</w:t>
      </w:r>
    </w:p>
    <w:p>
      <w:r>
        <w:rPr>
          <w:b/>
        </w:rPr>
        <w:t>E. 8</w:t>
      </w:r>
    </w:p>
    <w:p>
      <w:r>
        <w:t>In merito alla questione sollevata dal reclamante, secondo il quale la somma riconosciuta dall’escusso non comprenderebbe necessariamente gli interessi ritenuti sproporzionati dal Pretore in seguito a usura, va osservato quanto segue. Dal testo dell’accordo in oggetto si evince che questo “sostituisce ogni precedente” concluso tra le parti. Non si evince tuttavia che le parti abbiano avuto la volontà giuridica di estinguere i vecchi debiti sostituendoli con uno nuovo completamente diverso dai precedenti. Al contrario, le parti volevano regolare le modalità di esecuzione, fissando l’importo totale dovuto, il primo acconto e i termini di pagamento. Non vi è pertanto novazione dell’obbligazione originaria (cfr. DTF 131 III 586, 593 cons. 4.2.3.3). Quanto concordato non può neppure essere interpretato quale rettifica dei precedenti accordi non essendo l’accordo in oggetto espressione di libera volontà, bensì essendo viziato, come ritenuto al precedente considerando, da timore (DTF 84 II 621, 627, cons. 2.c). In sede pretorile il convenuto ha rinviato a prestiti concessigli precedentemente, di cui ai doc. F, G e H prodotti dall’istante, ossia a due prestiti ottenuti il 4 febbraio 2009 di fr. 50'000.—rispettivamente di fr. 60'000.--, che prevedevano interessi annui del 216% rispettivamente del 186.66% rispettivamente a un terzo prestito ottenuto il 13 febbraio 2009 di fr. 15'000.-- con l’impegno a restituire fr. 17'500.-- entro il 6 marzo 2009 oltre a fr. 11'800.-- entro l’11 marzo 2009, asserendo che questi interessi – chiaramente usurari - sono stati conteggiati nell’importo di fr. 500'000.--. Orbene l’istante non ha fornito un riepilogo degli importi compresi nell’accordo doc. B. Da quest’ultimo si evince tuttavia che l’importo di fr. 500'000.-- si compone di fr. 416'000.-- derivanti da “prestiti in più tappe e guadagni da operazioni diverse poi non realizzatesi entro i termini per motivi di forza maggiore” e di fr. 84'000.-- derivanti da “un’ulteriore operazione” . Il fatto che l’istante ha concesso in precedenza prestiti al convenuto e che l’importo di fr. 416'000.-- risulta essere composto anche da “prestiti in più tappe” sono indizi a favore della tesi dell’escusso, che pertanto ha reso sufficientemente verosimile che nell’importo indicato nell’accordo in esame potrebbero essere stati conteggiati pure prestiti ad interessi usurari rispettivamente gli interessi usurari stessi. Del resto, sulla specifica questione il reclamante è evasivo, limitandosi a sostenere che non necessariamente gli interessi ritenuti dal Pretore contrari alla legge sarebbero confluiti nella somma oggetto del riconoscimento di debito, senza tuttavia escludere tale scenario. Ne consegue che l’accordo doc. B non può in questa procedura essere considerato valido riconoscimento di debito ai sensi dell’art. 82 cpv. 1 LEF, avendo il convenuto reso verosimile che è viziato da timore ai sensi dell’art. 29 CO rispettivamente da lesione ai sensi dell’art. 21 CO rispettivamente che è nullo ai sensi dell’art. 20 CO, trattandosi di un contratto contrario alle leggi ossia al divieto dell’usura previsto dall’art. 157 CP.</w:t>
      </w:r>
    </w:p>
    <w:p>
      <w:r>
        <w:rPr>
          <w:b/>
        </w:rPr>
        <w:t>E. 9</w:t>
      </w:r>
    </w:p>
    <w:p>
      <w:r>
        <w:t>Il reclamo va respinto. La tassa di giustizia e le spese processuali di ambo le sedi così come l’indennità di seconda sede (art. 95 cpv. 3 lett. c CPC) seguono la soccombenza (art. 48 e 61 cpv. 1 OTLEF; art. 95 cpv. 2 e 3, 105 cpv. 1 e 2, 106 cpv. 1 CPC). Per questi motivi, richiamato l’art. 82 LEF pronuncia: 1. Il reclamo è respinto. 2. La tassa di giustizia di fr. 600.--, già anticipata dal reclamante, resta carico di RE 1, il quale rifonderà a CO 1 fr. 80.-- per ripetibili. 3 .   Notificazione a: - __________ - __________ Comunicazione alla Pretura della Giurisdizione di Locarno-Campagna Per la Camera di esecuzione e fallimenti del Tribunale d’appello Il presidente                                                                             La segretaria Giacché il valore litigioso della vertenza è di fr. 48'000.--,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