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14.2012.129 vom 20. August 2012</w:t>
      </w:r>
    </w:p>
    <w:p>
      <w:r>
        <w:t>TI Tribunale d'appello, 2012-08-20, IT</w:t>
      </w:r>
    </w:p>
    <w:p>
      <w:r>
        <w:rPr>
          <w:b/>
        </w:rPr>
        <w:t xml:space="preserve">Quelle: </w:t>
      </w:r>
      <w:r>
        <w:t>https://mcp.opencaselaw.ch/entscheid/ti_gerichte_14.2012.129</w:t>
      </w:r>
    </w:p>
    <w:p>
      <w:r>
        <w:t>FR: TI_GERICHTE 14.2012.129 du 20 août 2012</w:t>
      </w:r>
    </w:p>
    <w:p>
      <w:r>
        <w:t>IT: TI_GERICHTE 14.2012.129 del 20 agosto 2012</w:t>
      </w:r>
    </w:p>
    <w:p>
      <w:pPr>
        <w:pStyle w:val="Heading2"/>
      </w:pPr>
      <w:r>
        <w:t>Erwägungen</w:t>
      </w:r>
    </w:p>
    <w:p>
      <w:r>
        <w:rPr>
          <w:b/>
        </w:rPr>
        <w:t>E. 3</w:t>
      </w:r>
    </w:p>
    <w:p>
      <w:r>
        <w:t>CPC);</w:t>
      </w:r>
    </w:p>
    <w:p>
      <w:r>
        <w:t>che in base base allart. 320 CPC con il reclamo possono essere censurati a. lerrata applicazione della legge, b. laccertamento manifestamente errato dei fatti;</w:t>
      </w:r>
    </w:p>
    <w:p>
      <w:r>
        <w:t>che linsorgente non si avvale né delluno, né dellaltro titolo di reclamo, ovvero non pretende che, rigettando in via provvisoria lopposizione al precetto esecutivo in rassegna, Il primo giudice abbia disatteso norme di legge, segnatamente  per quanto qui di rilievo  lart 82 LEF posto alla base della decisione impugnata, rispettivamente abbia accertato i fatti in modo manifestamente errato;</w:t>
      </w:r>
    </w:p>
    <w:p>
      <w:r>
        <w:t>che, anzi, essa riconosce espressamente di dovere quanto preteso dalla parte istante, ancorché formulando proposta di condono, rispettivamente di riduzione, rispettivamente di rateizzazione della somma invocando la sua precaria situazione  finanziaria che non le consentirebbe altra soluzione;</w:t>
      </w:r>
    </w:p>
    <w:p>
      <w:r>
        <w:t>che tale richiesta, formulata peraltro per la prima volta in questa sede sulla base di documentazione non agli atti (la convenuta non ha infatti presentato osservazioni allistanza) in dispregio del divieto di addurrenovain sede di reclamo sancito dallart. 326 cpv. 1 CPC, esula tuttavia dalle competenze riservate a questa Camera nel quadro di unimpugnativa contro una decisione di rigetto dellopposizione;</w:t>
      </w:r>
    </w:p>
    <w:p>
      <w:r>
        <w:t>che ne discende pertanto linammissibilità del rimedio;</w:t>
      </w:r>
    </w:p>
    <w:p>
      <w:r>
        <w:t>che gli oneri processuali relativi al presente giudizio dovrebbe posti carico dellinsorgente, siccome parte soccombente (art. 48, 61 cpv. 1 OTLEFe 106 cpv. 1 CPC);</w:t>
      </w:r>
    </w:p>
    <w:p>
      <w:r>
        <w:t>che data la particolarità della fattispecie e tenuto conto che la reclamante non è assistita da un avvocato, si prescinde eccezionalmente dal riscuotere spese;</w:t>
      </w:r>
    </w:p>
    <w:p>
      <w:r>
        <w:t>per questi motivi,</w:t>
      </w:r>
    </w:p>
    <w:p>
      <w:r>
        <w:t>pronuncia:</w:t>
      </w:r>
    </w:p>
    <w:p>
      <w:r>
        <w:t>-;</w:t>
      </w:r>
    </w:p>
    <w:p>
      <w:r>
        <w:t>-.</w:t>
      </w:r>
    </w:p>
    <w:p>
      <w:r>
        <w:t>Per la Camera di esecuzione e fallimenti del Tribunale dappello</w:t>
      </w:r>
    </w:p>
    <w:p>
      <w:r>
        <w:t>Il presidente                                                                          La segretaria</w:t>
      </w:r>
    </w:p>
    <w:p>
      <w:r>
        <w:t>Rimedi giuridici</w:t>
      </w:r>
    </w:p>
    <w:p>
      <w:r>
        <w:t>Giacché il valore litigioso della vertenza, di fr. ,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