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14.2011.85 vom 28. Juli 2011</w:t>
      </w:r>
    </w:p>
    <w:p>
      <w:r>
        <w:t>TI Tribunale d'appello, 2011-07-28, IT</w:t>
      </w:r>
    </w:p>
    <w:p>
      <w:r>
        <w:rPr>
          <w:b/>
        </w:rPr>
        <w:t xml:space="preserve">Quelle: </w:t>
      </w:r>
      <w:r>
        <w:t>https://mcp.opencaselaw.ch/entscheid/ti_gerichte_14.2011.85</w:t>
      </w:r>
    </w:p>
    <w:p>
      <w:r>
        <w:t>FR: TI_GERICHTE 14.2011.85 du 28 juillet 2011</w:t>
      </w:r>
    </w:p>
    <w:p>
      <w:r>
        <w:t>IT: TI_GERICHTE 14.2011.85 del 28 luglio 2011</w:t>
      </w:r>
    </w:p>
    <w:p>
      <w:pPr>
        <w:pStyle w:val="Heading2"/>
      </w:pPr>
      <w:r>
        <w:t>Regeste</w:t>
      </w:r>
    </w:p>
    <w:p>
      <w:r>
        <w:t>Opposiz. a sequestro: legittimazione a ricorrere dell'escusso - passaggio di proprietà al terzo del bene sequestrato considerato non effettivo - per il trasferimento di proprietà di un oggetto mobile diventa determinante il trasferimento del possesso</w:t>
      </w:r>
    </w:p>
    <w:p>
      <w:pPr>
        <w:pStyle w:val="Heading2"/>
      </w:pPr>
      <w:r>
        <w:t>Erwägungen</w:t>
      </w:r>
    </w:p>
    <w:p>
      <w:r>
        <w:rPr>
          <w:b/>
        </w:rPr>
        <w:t>E. 2</w:t>
      </w:r>
    </w:p>
    <w:p>
      <w:r>
        <w:t>Il termine per l'inoltro del reclamo è di dieci giorni (art. 321 cpv. 2 CPC). Eventuali osservazioni al reclamo devono poi ossequiare un medesimo termine di dieci giorni (art. 322 cpv. 2 CPC). In concreto, proposto il 30 maggio 2011 avverso la sentenza 17 maggio 2011 intimata il successivo 19 maggio e notificata il giorno 20 maggio 2011, il reclamo rispetta senz'altro il termine di dieci giorni ed è quindi ammissibile. Ai sequestranti, il ricorso è invece stato intimato il 6 giugno 2011 e notificato il giorno dopo: di conseguenza, inviate il 17 giugno 2011, anche le osservazioni sono tempestive ed ammissibili.</w:t>
      </w:r>
    </w:p>
    <w:p>
      <w:r>
        <w:rPr>
          <w:b/>
        </w:rPr>
        <w:t>E. 3</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considerano determinanti.</w:t>
      </w:r>
    </w:p>
    <w:p>
      <w:r>
        <w:rPr>
          <w:b/>
        </w:rPr>
        <w:t>E. 4</w:t>
      </w:r>
    </w:p>
    <w:p>
      <w:r>
        <w:t>Giusta l'art. 320 CPC con il reclamo possono essere censurati: a.   l'applicazione errata del diritto; b.   l'accertamento manifestamente errato dei fatti. In concreto, il reclamante non invoca alcuna specifica norma giuridica. Reputa tuttavia di avere reso verosimile il passaggio di proprietà dell'auto -per intervenuta vendita precedente il decreto di sequestro- sulla base dei tre documenti prodotti (doc. A, B e C). Rimprovera in particolare al Pretore aggiunto di non avere ponderato, nell'insieme, le risultanze di cui gli stessi davano riscontro.</w:t>
      </w:r>
    </w:p>
    <w:p>
      <w:r>
        <w:rPr>
          <w:b/>
        </w:rPr>
        <w:t>E. 5</w:t>
      </w:r>
    </w:p>
    <w:p>
      <w:r>
        <w:t>La legittimazione per ricorrere e quindi l'interesse a ricorrere, costituiscono un presupposto processuale che il giudice deve esaminare d'ufficio ( Hohl, Procédure civile, vol. II, Berna 2001, n. 2974 seg. e 2993). L'art. 59 cpv. 1 e cpv. 2 lett. a CPC consente al giudice di entrare nel merito dell'azione o dell'istanza solo se sono dati i presupposti processuali, fra cui appunto l'interesse degno di protezione dell'attore o dell'istante ( Tappy, Les voies de droit du nouveau Code de procédure civile, in: JdT 2010 III 115 segg. e, con riferimento alla procedura di reclamo, pag. 152 che rinvia alla pag. 128; Gehri , Basler Kommentar, Schweizerische Zivilprozessordnung; Basilea 2010, n. 5 segg. ad art. 59). In assenza di un interesse degno di protezione -che può venir meno anche in un secondo tempo- egli emanerà una decisione di non entrata in materia ( Gehri , op .cit., n. 3 seg. ad art. 59 e n. 11 segg. ad art. 60). L'esame d'ufficio non esonera le parti dall'allegare i fatti e addurre prove a sostegno di un preteso difetto di presupposto processuale, fermo restando che indipendentemente da ciò, il giudice è nondimeno obbligato a considerare circostanze a lui note e che sono d'impedimento a quell'azione o a quell'istanza ( Gehri , op. cit., n. 10 ad art. 60). L'esigenza di un interesse vale anche per l'opposizione al sequestro -l'art. 278 cpv. 1 precisa che l'opponente deve essere “toccato nei suoi diritti”- e per il ricorso contro la decisione su opposizione ai sensi dell'art. 278 cpv. 3 LEF ( Gasser , Das Abwehrdispositiv der Arrestbetroffenen nach revidiertem SchKG, in: ZBJV 1994, pag. 603 ad 3a; Reiser , op. cit., n. 20 ad art. 278; Artho von Gunten , op. cit., pag. 21 seg. e pag. 148 seg. ad 1.3). Nella misura in cui il debitore è il destinatario del sequestro, la legittimazione ad interporre opposizione e ad impugnare la decisione su opposizione deve essergli riconosciuta ( Gasser , op. cit., pag. 604 ad c e 615 ad c; Amonn/Walther, op. cit., n. 65 ad § 51; Jaeger/Walder/Kull/Kottmann, Bundesgesetz über Schuldbetreibung und Konkurs, vol. II, 4 a ed., Zurigo 1999, n. 6 e 25 ad art. 278; Stoffel , Le séquestre, in: La LP révisée, collana CEDIDAC, vol. 35, Losanna 1997, p. 287 ad B.1 e 291 ad 4; Reiser , op. cit., n. 21 e 44 ad art. 278; Dallèves , Le séquestre, FJS n. 740, Ginevra 1999, p. 22 ad 2). Ciò non toglie che non è legittimato a interporre opposizione al decreto di sequestro, l'escusso che non rende perlomeno verosimile di essere pregiudicato nei propri interessi allorquando il provvedimento colpisce diritti patrimoniali di un terzo ( Gilliéron, op. cit., n. 54 ad art. 278 con riferimenti a DTF 114 Ia 383, consid. 2c; CEF 12 settembre 2007 [14.2007.33], consid. 4; 12 settembre 2007 [14.2007.32], consid. 4; 26 gennaio 2005 [14.2004.109], consid. 3; 17 dicembre 2004 [14.2004.17], consid. 4.3; 9 gennaio 2004 [14.2003.80/81], consid. 5.2 e 5.3; 10 ottobre 2003 [14.2003.64], consid. 1.5). Per il resto, spetterà semmai al terzo che si reputa “toccato” dal sequestro il privilegio di agire a tutela dei propri diritti, avvalendosi dello strumento dell'opposizione (sulla delimitazione per la legittimazione dei terzi, da ultimo: CEF, 18 giugno 2010 [14.2010.40]).</w:t>
      </w:r>
    </w:p>
    <w:p>
      <w:r>
        <w:rPr>
          <w:b/>
        </w:rPr>
        <w:t>E. 6</w:t>
      </w:r>
    </w:p>
    <w:p>
      <w:r>
        <w:t>In concreto, il reclamante è pacificamente il destinatario del sequestro in esame. Ed è proprio su questa circostanza che egli fonda la sua legittimazione a ricorrere (reclamo, pag. 2). Invero, davanti a questa Camera, egli torna altresì a ribadire di non essere più il legittimo proprietario dell'auto sequestrata e che si trova depositata presso il Garage __________ in quanto, prima ancora che fosse emesso il decreto di sequestro, l'aveva venduta a un terzo (reclamo, pag. 2). L'argomento appare in sé contraddittorio visto e considerato che, nella misura in cui persevera nel sostenere che quel bene appartiene a un terzo, egli non rende verosimile il pregiudizio di propri interessi (CEF, 18 giugno 2010 [14.2010.40] consid. 2.1). Di modo che, questo escluderebbe un suo interesse legittimo a ricorrere, con la conseguenza che il reclamo sarebbe finanche irricevibile. Resta nondimeno il fatto che per il Pretore, il veicolo sequestrato apparteneva all'opponente e che -a differenza di quanto da lui preteso- dal fascicolo processuale non emergevano elementi per considerare effettivo l'asserito passaggio di proprietà dell'auto da lui a __________ (sentenza impugnata, pag. 5). Come si avrà modo di spiegare oltre, questa Camera reputa tale conclusione sostenibile (sotto, consid. 12). Alla luce di tutto ciò, anche se per altri motivi rispetto a quelli addotti dal reclamante, al debitore escusso va pertanto senz'altro riconosciuta la legittimazione a ricorrere in materia di opposizione al sequestro in esame.</w:t>
      </w:r>
    </w:p>
    <w:p>
      <w:r>
        <w:rPr>
          <w:b/>
        </w:rPr>
        <w:t>E. 7</w:t>
      </w:r>
    </w:p>
    <w:p>
      <w:r>
        <w:t>Giusta l'art. 272 cpv. 1 LEF, il sequestro viene concesso dal giudice del luogo in cui si trovano i beni, purché il creditore renda verosimile l'esistenza: 1. del credito; 2. di una causa di sequestro; 3. di beni appartenenti al debitore. In concreto, controversa è (ed era) l'appartenenza dei beni al debitore sequestrato e qui opponente, conclusione che egli contesta. Appartenenza dei beni al debitore sequestrato</w:t>
      </w:r>
    </w:p>
    <w:p>
      <w:r>
        <w:rPr>
          <w:b/>
        </w:rPr>
        <w:t>E. 8</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[14.05.67], consid. 3.4).</w:t>
      </w:r>
    </w:p>
    <w:p>
      <w:r>
        <w:rPr>
          <w:b/>
        </w:rPr>
        <w:t>E. 9</w:t>
      </w:r>
    </w:p>
    <w:p>
      <w:r>
        <w:t>Il reclamante considera anzitutto provata la verosimiglianza della sua tesi, quindi che la proprietà dell'auto accidentata sia passata a un terzo -e meglio tale __________, residente __________- sulla base dei documenti da lei prodotti quali doc. A, B e C. Rimprovera segnatamente al Pretore aggiunto di non avere tenuto conto nel loro complesso di quanto emergeva dagli stessi (reclamo, pag. 3 n. 2). A torto. Il Pretore aggiunto ha dapprima appurato che, quantomeno fino al 28 marzo 2011, la titolarità dell'opponente su quel veicolo non era controversa, per poi affrontare l'esame delle obiezioni da lui sollevate alla luce dei riscontri che emergevano dal fascicolo processuale (sentenza impugnata, pag. 3 segg.). In merito al doc. A, designato quale “certificat de vente ou de cession d'un véhicule d'occasion” del 28 marzo 2011 e firmato dal solo opponente, il Pretore aggiunto ha rilevato che si trattava di una dichiarazione di parte senza attestazione ufficiale, di cui pertanto non era dato di sapere se era in effetti già stata consegnata alle competenti autorità (sentenza impugnata, pag. 3 in basso). Ciò posto, invano il reclamante obietta che il certificato era pronto per essere inviato, che era così evidente la sua volontà di alienare il veicolo, che il sequestro soltanto ne bloccava l'invio e che il passaggio di proprietà non era l'immatricolazione, decisione quest'ultima che spettava al solo acquirente (reclamo, pag. 3/4 n. 2). Nella misura in cui egli medesimo conferma che quel documento non è mai stato spedito a causa del sequestro, l'interessato non fa altro che confermare la conclusione pretorile. Per il resto, si può certo condividere la tesi secondo cui il passaggio di proprietà su un veicolo prescinde dalle eventuali formalità di immatricolazione poste in atto dal nuovo acquirente (cfr. anche reclamo, pag. 4 n. 2). Nondimeno, la mera intenzione a vendere non è un requisito sufficiente a determinare -come lascia sottintendere l'interessato- il trasferimento di proprietà di un oggetto mobile, considerato che l'art. 714 cpv. 1 CC sancisce la necessità del trasferimento del possesso ( Schwander, Basler Kommentar zum ZGB II, 2 a ed., Basilea 2003, n. 5 ad art. 714; Steinauer, Les droits réels, vol. II, 2 a ed., Berna 1994, n. 2013 segg. ad §57). D'altra parte poi il reclamate nemmeno contesta che -come accertato dal Pretore aggiunto- il doc. B, ossia la “Déclaration de vente – __________” pure datata 28 marzo 2011 e firmata dall'opponente quale venditore e da __________ in veste di acquirente, nulla indichi riguardo al prezzo di vendita. Invero, l'interessato evidenzia che con tale dichiarazione le parti hanno confermato il relativo ordine di pagamento prodotto quale doc. C che, poiché indicava la vendita dell'auto, concerneva il passaggio di proprietà a quell'acquirente (reclamo, pag. 3 n. 2). L'argomento è tuttavia fuorviante e pretestuoso. Laddove non contesta l'assenza di elementi sul prezzo, egli non rende verosimile che il documento in questione sia qualificabile quale contratto obbligatorio di compravendita, condizione necessaria questa per il trasferimento della proprietà ( Schwander, op. cit., n. 3 ad art. 714; Steinauer, op. cit., n. 2010 segg. ad §57). D'altro canto e come egli stesso ammette (reclamo, pag. 5 n. 4), non è il versamento in sé a rendere effettivo il passaggio di proprietà, ma bensì -come già  ricordato- il trasferimento del possesso (art. 714 cpv. 1 CC: Schwander, op. cit., n. 7 ad art. 714; Steinauer, op. cit., n. 2018 ad §57). Di modo che, a un esame limitato alla verosimiglianza, diventa così inutile determinarsi sulla rilevanza del pagamento eseguito da una società terza e non riconducibile all'acquirente, che -a differenza del Pretore aggiunto- il reclamante non reputa tale (reclamo, pag. 3 n. 2).</w:t>
      </w:r>
    </w:p>
    <w:p>
      <w:r>
        <w:rPr>
          <w:b/>
        </w:rPr>
        <w:t>E. 10</w:t>
      </w:r>
    </w:p>
    <w:p>
      <w:r>
        <w:t>Il Pretore aggiunto ha ancora rilevato che il veicolo era stato danneggiato a seguito di un incidente stradale, che in sede d'udienza l'opponente medesimo aveva parlato di una “carcassa” e che, nel verbale di sequestro, l'ufficio esecuzioni aveva dato atto di questo suo stato “accidentato” : tuttavia, il primo giudice ha rilevato pure che nessuno dei documenti prodotti dall'opponente recava indicazioni in tal senso (sentenza impugnata, pag. 4). Ora, come tale, il reclamante non contesta questo accertamento. Certo, egli sostiene che per le parti alla compravendita dell'auto era ben chiaro che si trattava di un veicolo accidentato visto che l'importo di Euro 30'000.– teneva conto del suo stato attuale e che, in origine, si trattava comunque di una macchina di lusso, tant'è che i procedenti ne avevano appunto chiesto il sequestro (reclamo, pag. 4 n. 3). Sia come sia, ai fini del presente giudizio limitato a un esame di verosimiglianza la critica non ha portata pratica. Si è detto (sopra, consid. 9) che il passaggio di proprietà si perfeziona con il trasferimento del possesso (art. 714 cpv. 1 CC), che come si avrà modo di vedere in seguito non è stato reso verosimile (sotto, consid. 12). Da questo punto di vista quindi, la pretesa valida stipulazione del contratto obbligatorio che ne è alla base ( Schwander, op. cit., n. 2 ad art. 714), non basterebbe comunque. La censura va così disattesa.</w:t>
      </w:r>
    </w:p>
    <w:p>
      <w:r>
        <w:rPr>
          <w:b/>
        </w:rPr>
        <w:t>E. 11</w:t>
      </w:r>
    </w:p>
    <w:p>
      <w:r>
        <w:t>Il reclamante rimprovera al Pretore aggiunto di avere considerato che il pagamento effettivo era avvenuto il 30 marzo 2011, giorno in cui era stato decretato il sequestro dell'auto, e non già il 28 marzo 2011 (reclamo, pag. 5 n. 4). L'argomento appare di per sé infondato, visto che -come stabilito dal primo giudice (sentenza impugnata, pag. 4)- l'ordine in questione, pur datato 28 marzo 2011, precisa che quell'importo doveva essere versato con valuta 30 marzo 2011 (doc. C pag. 1), giorno in cui era appunto avvenuto l'accredito (doc. C pag. 2). Di modo che, al riguardo, il reclamo va ancora una volta respinto. Per il resto, si aggiunga che -come visto (sopra, consid. 9)- non è il pagamento del prezzo d'acquisto a determinare il trasferimento di proprietà su un oggetto mobile.</w:t>
      </w:r>
    </w:p>
    <w:p>
      <w:r>
        <w:rPr>
          <w:b/>
        </w:rPr>
        <w:t>E. 12</w:t>
      </w:r>
    </w:p>
    <w:p>
      <w:r>
        <w:t>Il reclamante, rileva infine che l'acquirente aveva avuto modo di visionare le foto dell'auto accidentata, che pertanto l'acquisto era intervenuto con piena coscienza di causa e che, soprattutto, il trasferimento del possesso dell'auto era avvenuto consegnando a lui la chiave di riserva il giorno in cui i documenti prodotti erano stati sottoscritti, prima dell'ordine di pagamento (reclamo, pag. 5 n. 5). Si tratta però di allegazioni di parte del tutto generiche, che non sono confortate da riferimenti puntuali ed oggettivi e quindi non trovano alcun riscontro nel fascicolo processuale: prova ne è che il reclamante medesimo non rinvia ad alcun documento. D'altra parte poi, l'interessato non contesta nemmeno l'asserita mancata consegna dell'auto (reclamo, pag. 5 n. 5 ad initio) constatata dal Pretore aggiunto (sentenza impugnata, pag. 4). A fronte di ciò, e diversamente da quanto ne desume il ricorrente (reclamo, pag. 5 n. 6), il  trasferimento di possesso dell'auto -e quindi anche il preteso e conseguente trasferimento di proprietà- non risulta affatto verosimile. Allo stadio attuale e alla luce delle risultanze agli atti, è per contro ben più attendibile e pertinente la tesi dei sequestranti che riconducono all'opponente la proprietà sull'auto.</w:t>
      </w:r>
    </w:p>
    <w:p>
      <w:r>
        <w:rPr>
          <w:b/>
        </w:rPr>
        <w:t>E. 13</w:t>
      </w:r>
    </w:p>
    <w:p>
      <w:r>
        <w:t>La sentenza impugnata va di conseguenza confermata, mentre il reclamo va respinto poiché infondato. La tassa di giustizia (art. 48, 61 cpv. 1 e OTLEF) e le spese (art. 105 cpv. 1 CPC) insieme alle ripetibili (art. 105 cpv. 2 CPC), seguono la soccombenza del reclamante (art. 106 cpv. 1 CPC). Motivi per i quali richiamati gli art. 271 segg. LEF, art. 105 e 106 cpv. 1, 251 lett. a, 319 segg. CPC, art. 48 e 61 cpv. 1 OTLEF e il Regolamento sulle ripetibili; pronuncia:              1. Il reclamo è respinto. 2. La tassa di giustizia di complessivi fr. 500.–, già anticipata dal reclamante, resta a suo carico con l'obbligo di rifondere a CO 1, __________, e CO 2, __________, in solido fra di loro, fr. 600.– per ripetibili. 3. Intimazione: – PA 1 __________; – PA 2, __________. Comunicazione alla Pretura __________. Per la Camera di esecuzione e fallimenti del Tribunale d’appello Il presidente                                                           La segretaria Trattandosi di misura cautelare, e ritenuto che il valore litigioso della vertenza va stabilito in fr. 35'000.–,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