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14.2011.44 vom 21. April 2011</w:t>
      </w:r>
    </w:p>
    <w:p>
      <w:r>
        <w:t>TI Tribunale d'appello, 2011-04-21, IT</w:t>
      </w:r>
    </w:p>
    <w:p>
      <w:r>
        <w:rPr>
          <w:b/>
        </w:rPr>
        <w:t xml:space="preserve">Quelle: </w:t>
      </w:r>
      <w:r>
        <w:t>https://mcp.opencaselaw.ch/entscheid/ti_gerichte_14.2011.44</w:t>
      </w:r>
    </w:p>
    <w:p>
      <w:r>
        <w:t>FR: TI_GERICHTE 14.2011.44 du 21 avril 2011</w:t>
      </w:r>
    </w:p>
    <w:p>
      <w:r>
        <w:t>IT: TI_GERICHTE 14.2011.44 del 21 aprile 2011</w:t>
      </w:r>
    </w:p>
    <w:p>
      <w:pPr>
        <w:pStyle w:val="Heading2"/>
      </w:pPr>
      <w:r>
        <w:t>Erwägungen</w:t>
      </w:r>
    </w:p>
    <w:p>
      <w:r>
        <w:rPr>
          <w:b/>
        </w:rPr>
        <w:t>E. 3</w:t>
      </w:r>
    </w:p>
    <w:p>
      <w:r>
        <w:t>CPC);</w:t>
      </w:r>
    </w:p>
    <w:p>
      <w:r>
        <w:t>che trattandosi di unimpugnazione contro una decisione pronunciata in procedura sommaria (art. 251 lett. a CPC), il termine per linoltro del reclamo è di dieci giorni (art. 321 cpv. 2 CPC);</w:t>
      </w:r>
    </w:p>
    <w:p>
      <w:r>
        <w:t>che, nella fattispecie, pur non avendo la parte istante definito latto di causa 22 marzo 2011 come reclamo, benché il primo giudice abbia reso attente le parti che contro la sua decisione dell11 marzo 2011 è possibile presentare reclamo al Tribunale dappello (recte: alla Camera di esecuzione e fallimenti del Tribunale dappello; cfr. art. 48 lett. e n. 1 LOG) entro il termine di dieci giorni, latto da egli presentato va inteso come ricorso contro la decisione di prima sede e, pertanto come reclamo ex art. 319 segg. CPC;</w:t>
      </w:r>
    </w:p>
    <w:p>
      <w:r>
        <w:t>che proponendosi di ottenere una rivalutazione del caso asserendo che listanza di rigetto definitivo dellopposizione, contrariamente a quanto ritenuto dal Pretore, è stata invece sottoscritta dalle persone abilitate a rappresentare in giudizio il Comune, e che agli atti figura pure la decisione di tassazione (titolo di rigetto definitivo dellopposizione ex art. 80 LEF) con lattestazione della sua crescita in giudicato, di modo che listante avrebbe fornito la documentazione corretta, implicitamente linsorgente chiede il ribaltamento del giudizio di primo grado (ovvero laccoglimento della propria istanza), avvalendosi dei motivi di reclamo previsti dallart. 320 lett. a e b CPC (applicazione errata del diritto, accertamento manifestamente errato dei fatti);</w:t>
      </w:r>
    </w:p>
    <w:p>
      <w:r>
        <w:t>che, del resto, il reclamo 22 marzo 2011  i cui vizi sono stati emendati dallinsorgente il 29 marzo successivo, a seguito dellordinanza presidenziale del 25 marzo 2011, con la disgiunzione dei singoli gravami e con la sottoscrizione dellatto ricorsuale da parte del sindaco e del segretario comunale - risulta proposto tempestivamente, ovvero entro il termine di dieci giorni previsto dallart. 321 cpv. 2 CPC;</w:t>
      </w:r>
    </w:p>
    <w:p>
      <w:r>
        <w:t>che a giusta ragione il reclamante assevera che listanza di rigetto definitivo dellopposizione del 28 ottobre 2010 non reca la firma dei due funzionari facenti parte dei servizi contabili e della Cassa del comune, ma quella del sindaco __________ e dellallora segretario (comunale) __________;</w:t>
      </w:r>
    </w:p>
    <w:p>
      <w:r>
        <w:t>che, al riguardo, è verosimile che il Pretore sia stato tratto in errore dal fatto che nellistanza di rigetto dellopposizione quale rappresentante del creditore, ovvero del comune, figuri la __________, rispettivamente dal fatto che in calce allistanza figurino le sole firme dei rappresentanti dei comune, senza indicazione (in stampatello) dei rispettivi loro nominativi;</w:t>
      </w:r>
    </w:p>
    <w:p>
      <w:r>
        <w:t>che ne discende perciò su questo punto laccoglimento del gravame, ricordando al primo giudice che con lentrata in vigore del Codice di diritto processuale civile svizzero (CPC), atti viziati da carenze formali vanno sanati facendo capo allart. 132 cpv. 1 CPC, ossia assegnando alla parte interessata un termine per porvi rimedio;</w:t>
      </w:r>
    </w:p>
    <w:p>
      <w:r>
        <w:t>che secondo lart. 80 cpv. 1 vLEF  ossia secondo il testo in vigore fino al 30.12.1210, che torna ancora applicabile alla fattispecie - se il credito è fondato su una sentenza esecutiva, il creditore può chiedere in giudizio il rigetto definitivo dellopposizione;</w:t>
      </w:r>
    </w:p>
    <w:p>
      <w:r>
        <w:t>che secondo lart 80 cpv. 2 n. 3 vLEF sono parificabili alle sentenze, entro il territorio cantonale, le decisioni di autorità amministrative cantonali riguardanti obbligazioni fondate sul diritto pubblico, quali le imposte, in quanto il diritto cantonale le parifichi a sentenze esecutive;</w:t>
      </w:r>
    </w:p>
    <w:p>
      <w:r>
        <w:t>che la decisione di tassazione dopo tassazione dufficio del 26 novembre 2008 dellUfficio di tassazione di __________, che ha fissato in fr. 2'867.85 limposta cantonale 2007 sul reddito a carico della convenuta, costituisce senzaltro titolo di rigetto definitivo dellopposizione (cfr. art. 28 vLALEF) sia per la stessa imposta cantonale, sia però anche per limposta comunale, sempre sul reddito, ossia applicando lesatto moltiplicatore comunale dimposta di riferimento (in casu del 95%), quesito al quale non si può che rispondere affermativamente, il convenuto non avendo del resto preteso il contrario, ovvero che limposta comunale sul reddito (fr. 2'724.45) ) non fosse stata fissata correttamente;</w:t>
      </w:r>
    </w:p>
    <w:p>
      <w:r>
        <w:t>che, infatti, contrariamente a quanto accertato dal Pretore  verosimilmente per una svista - il titolo di rigetto allegato allistanza (la citata decisione fiscale), risulta munito della certificazione della sua crescita in giudicato (doc. E);</w:t>
      </w:r>
    </w:p>
    <w:p>
      <w:r>
        <w:t>che bisogna tuttavia rilevare che lonere fiscale di fr. 20.- (imposta personale) non è stato stabilito con riferimento alla decisione dellautorità fiscale cantonale di cui al doc. E, passata, come visto, in giudicato, ma autonomamente dal comune stesso al momento di fissare limposta comunale sul reddito, senza certificazione della relativa crescita in giudicato;</w:t>
      </w:r>
    </w:p>
    <w:p>
      <w:r>
        <w:t>che nel contesto di svolgimento della fattispecie, costituirebbe però un formalismo eccessivo dare peso decisivo a questa circostanza, considerato che lescusso non ha in nessun caso eccepito di non dovere tale importo e meno che meno ha preteso di avere presentato al Municipio reclamo entro 30 giorni contro il calcolo dellimposta comunale;</w:t>
      </w:r>
    </w:p>
    <w:p>
      <w:r>
        <w:t>che anche su questo punto il reclamo merita pertanto tutela;</w:t>
      </w:r>
    </w:p>
    <w:p>
      <w:r>
        <w:t>che, dato quanto precede, si giustifica pertanto laccoglimento del gravame, motivo per cui la sentenza impugnata va riformata nel senso di accogliere listanza e di porre le spese e la tassa di giustizia di prima sede a carico del convenuto (art. 327 cpv. 3 lett. b CPC);</w:t>
      </w:r>
    </w:p>
    <w:p>
      <w:r>
        <w:t>che, per contro, non si prelevano oneri processuali in relazione al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