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14.2011.188 vom 22. November 2011</w:t>
      </w:r>
    </w:p>
    <w:p>
      <w:r>
        <w:t>TI Tribunale d'appello, 2011-11-22, IT</w:t>
      </w:r>
    </w:p>
    <w:p>
      <w:r>
        <w:rPr>
          <w:b/>
        </w:rPr>
        <w:t xml:space="preserve">Quelle: </w:t>
      </w:r>
      <w:r>
        <w:t>https://mcp.opencaselaw.ch/entscheid/ti_gerichte_14.2011.188</w:t>
      </w:r>
    </w:p>
    <w:p>
      <w:r>
        <w:t>FR: TI_GERICHTE 14.2011.188 du 22 novembre 2011</w:t>
      </w:r>
    </w:p>
    <w:p>
      <w:r>
        <w:t>IT: TI_GERICHTE 14.2011.188 del 22 novembre 2011</w:t>
      </w:r>
    </w:p>
    <w:p>
      <w:pPr>
        <w:pStyle w:val="Heading2"/>
      </w:pPr>
      <w:r>
        <w:t>Regeste</w:t>
      </w:r>
    </w:p>
    <w:p>
      <w:r>
        <w:t>Fallimento decretato contro una persona giuridica diversa da quella indicata sul precetto esecutivo e sulla comminatoria di fallimento. Annullamento. Ripartizione della tassa di giustizia metà per parte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spese dell’Ufficio esecuzione e fallimenti di __________, da anticipare come di rito, sono poste a carico delle parti metà per ciascuna.” II. La tassa di giustizia del presente giudizio di fr. 100.--, anticipata dalla reclamante, è posta a carico delle parti metà per ciascuna. III. Intimazione: - avv. dr. PA 1, __________ - RA 1, __________ - Ufficio esecuzione e fallimenti di __________, __________; - Ufficio cantonale del Registro di commercio,________; - Ufficio del Registro fondiario del Distretto di __________, __________; Comunicazione alla Pretura della Giurisdizione di __________. Per la Camera di esecuzione e fallimenti del Tribunale d’appello Il presidente                                                                             La segretaria Contro la presente decisione è possibile presentare ricorso in materia civile al Tribunale federale, 1000 Losanna 14, entro 30 giorni dalla notificazione (art. 72 e segg.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