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14.2011.174 vom 16. Dezember 2011</w:t>
      </w:r>
    </w:p>
    <w:p>
      <w:r>
        <w:t>TI Tribunale d'appello, 2011-12-16, IT</w:t>
      </w:r>
    </w:p>
    <w:p>
      <w:r>
        <w:rPr>
          <w:b/>
        </w:rPr>
        <w:t xml:space="preserve">Quelle: </w:t>
      </w:r>
      <w:r>
        <w:t>https://mcp.opencaselaw.ch/entscheid/ti_gerichte_14.2011.174</w:t>
      </w:r>
    </w:p>
    <w:p>
      <w:r>
        <w:t>FR: TI_GERICHTE 14.2011.174 du 16 décembre 2011</w:t>
      </w:r>
    </w:p>
    <w:p>
      <w:r>
        <w:t>IT: TI_GERICHTE 14.2011.174 del 16 dicembre 2011</w:t>
      </w:r>
    </w:p>
    <w:p>
      <w:pPr>
        <w:pStyle w:val="Heading2"/>
      </w:pPr>
      <w:r>
        <w:t>Regeste</w:t>
      </w:r>
    </w:p>
    <w:p>
      <w:r>
        <w:t>Rigetto provvisorio. Contratto di leasing. Determinabilità</w:t>
      </w:r>
    </w:p>
    <w:p>
      <w:pPr>
        <w:pStyle w:val="Heading2"/>
      </w:pPr>
      <w:r>
        <w:t>Erwägungen</w:t>
      </w:r>
    </w:p>
    <w:p>
      <w:r>
        <w:rPr>
          <w:b/>
        </w:rPr>
        <w:t>E. 1</w:t>
      </w:r>
    </w:p>
    <w:p>
      <w:r>
        <w:t>Sia alla procedura di primo grado, sia alla presente impugnativa torna applicabile il Codice di diritto processuale civile svizzero (Codice di procedura civile, CPC), entrato in vigore il 1° gennaio 2011, l’istanza di rigetto provvisorio dell’opposizione essendo stata inoltrata il 15 luglio 2011 e la decisione impugnata essendo stata emanata il 18 ottobre 2011 (art. 404 cpv. 1 e 405 cpv. 1 CPC).</w:t>
      </w:r>
    </w:p>
    <w:p>
      <w:r>
        <w:rPr>
          <w:b/>
        </w:rPr>
        <w:t>E. 2</w:t>
      </w:r>
    </w:p>
    <w:p>
      <w:r>
        <w:t>.   Secondo l’art. 319 lett. a CPC sono impugnabili mediante reclamo, tra l’altro, le decisioni inappellabili di prima istanza. Tale è il caso per le decisioni nelle pratiche a tenore della LEF,segnatamente in tema di rigetto dell’opposizione ex art. 80-84 LEF (cfr. art. 309 lett. b n. 3 CPC).</w:t>
      </w:r>
    </w:p>
    <w:p>
      <w:r>
        <w:rPr>
          <w:b/>
        </w:rPr>
        <w:t>E. 3</w:t>
      </w:r>
    </w:p>
    <w:p>
      <w:r>
        <w:t>In base all’art. 320 CPC con il reclamo possono essere censurati: a. l’applicazione errata del diritto, b. l’accertamento manifestamente errato dei fatti. Nel caso di specie il reclamante lamenta l’applicazione errata del diritto, avendo il Pretore aggiunto ammesso l’esistenza di un riconoscimento di debito, nonostante il conteggio eseguito dall’istante non sia liquido.</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6</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op. cit., p. 331; Staehelin, Basler Kommentar zum SchKG, vol. I, 2. ed., Basilea 2010, n. 50 ad art. 84; Gilliéron, Commentaire de la LP, vol. I, Losanna 1999, n. 73 ad art. 82 e n. 68 ad art. 84; Stücheli, Die Rechtsöffnung, tesi Zurigo 2000, p. 112 ad c).</w:t>
      </w:r>
    </w:p>
    <w:p>
      <w:r>
        <w:rPr>
          <w:b/>
        </w:rPr>
        <w:t>E. 7</w:t>
      </w:r>
    </w:p>
    <w:p>
      <w:r>
        <w:t>La dichiarazione di riconoscimento di debito è una dichiarazione di volontà con la quale il debitore si obbliga a pagare una certa somma di denaro, deve essere chiara, esplicita, non equivoca, non discutibile o soggetta a interpretazione (cfr. Panchaud/Caprez, Die Rechtsöffnung, Zurigo 1980, § 1 n. 7 p. 3; anche DTF 132 III 480 consid. 4 p. 461).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(Staehelin, op. cit., n. 25 ad art. 82 LEF). La documentazione prodotta (in particolare i conteggi e altri computi numerici) deve permettere una chiara e immediata ricostruzione dei movimenti contabili di dare e avere tra le parti fino a giungere all’importo finale posto in esecuzione: una indagine approfondita di natura contabile sfugge al potere di cognizione del giudice del rigetto (Cometta, op. cit. in, p. 339). Un contratto di leasing costituisce, in linea di principio, valido riconoscimento di debito per le rate esigibili (Panchaud/Caprez, op. cit., § 74 pag. 190; CEF 7 dicembre 2007 [14.2007.47], 5 ottobre 2001 [14.2000.76] cons. 2d; 11 luglio 2000 [14.1999.121] cons. 3f). Nel presente caso il 24 agosto 2006 RE 1 ha sottoscritto il contratto di leasing doc. B, impegnandosi a corrispondere – per l’uso di un’Audi S4 Avant 4.2 V8 – rate leasing mensili di fr. 822.80, IVA inclusa, per la durata di 48 mesi. Il contratto di leasing contiene tra l’altro una tabella, in cui sono indicate, in caso di risoluzione anticipata del contratto, le percentuali per il ricalcolo delle rate a seconda della durata del leasing. Contemporaneamente egli ha sottoscritto le Condizioni generali. Questi documenti costituiscono, in via di principio, valido titolo di rigetto provvisorio dell’opposizione ai sensi dell’art. 82 cpv. 1 LEF per le rate esigibili. In particolare, è innegabile che, sottoscrivendo i predetti documenti, l’escusso si è dichiarato d’accordo con ogni clausola contrattuale ivi contenuta.</w:t>
      </w:r>
    </w:p>
    <w:p>
      <w:r>
        <w:rPr>
          <w:b/>
        </w:rPr>
        <w:t>E. 8</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(cfr. DTF 104 Ic 413 cons. 4; Jaeger/Walder/Kull/Kottmann, Bundesgesetz über Schuldbetreibung und Konkurs, vol. I, 4a ed., Zurigo 1997, n. 28 ad art. 82; Gilliéron, op. cit., n. 82 ad art. 82; Stücheli, op. cit. p. 350 con rif.; Staehelin, op. cit., n. 87 s. ad art. 82 LEF). In seguito alla disdetta del contratto di leasing da parte di RE 1, B__________ -n__________ AG con scritto 20 novembre 2009, riferendosi all’art. 8.3. CGL, ha chiesto al convenuto il pagamento dell’importo di fr. 13'089.10, indicandolo quale “Risarcimento per sciogliomento anticipato del contratto” (doc. F). L’importo è stato calcolato come indicato nel conteggio di cui alla narrativa fattuale sub B. Con il precetto esecutivo in oggetto l’istante ha posto in esecuzione il predetto importo di fr. 13'089.10, menzionando quale causa dell’obbligazione “ risarcimento per scioglimento anticipato del contratto ”, per cui vi è identità tra il credito indicato nel precetto esecutivo e nell’istanza con il credito di cui ai documenti prodotti, ossia il conteggio doc. F considerato insieme con il contratto di leasing e le Condizioni generali. Un secondo scritto indicato quale “conteggio in seguito a disdetta” ( eseguito in base all’art. 9.2 CGL in combinazione con l’art. 2.3 CGL), inviato da B__________.n__________ AG all’escusso pure il 20 novembre 2009 ammontante a fr. 23'227.20, non può quindi essere oggetto dell’esecuzione in esame. Orbene, esaminando il tenore del predetto art. 8.3.CGL, sulla base del quale, come si è visto, è stato calcolato l’importo posto in esecuzione, emerge che la datrice del leasing era autorizzata a procedere come segue, ossia a “ ritirare immediatamente il veicolo, a esigere i canoni scaduti unitamente agli interessi di mora e a chiedere il risarcimento dei danni nella misura dell’interesse contrattuale positivo conformemente alla teoria della differenza. Il danno viene calcolato come segue: somma dei canoni mensili dovuti fino alla scadenza ordinaria del contratto, con aggiunta del valore residuo calcolato del veicolo alla scadenza del contratto e deduzione di uno sconto del 3%, nonché – a scelta – del valore commerciale o del ricavo netto della realizzazione del veicolo”. Come si evince dalla citata clausola il calcolo del danno doveva venire eseguito, tra l’altro, deducendo, a scelta della datrice del leasing, il valore commerciale o il ricavo netto della realizzazione del veicolo, per cui dipendeva da una sua decisione unilaterale da prendere al momento dello scioglimento del contratto di leasing. A questo proposito si osserva che nello scritto del 20 novembre 2009 (doc. F) B__________.n__________ AG ha comunicato al reclamante dapprima di avere “realizzato” l’oggetto del leasing, mentre nel conteggio essa ha indicato “meno il ricavo netto della Eurotax”, il che non solo è in contraddizione con l’enunciata realizzazione del veicolo, ma dimostra che questa componente di calcolo dipendeva da una scelta unilaterale della datrice del leasing . Ne consegue che nel caso di specie, al momento della firma del contratto, l’importo da pagare, nel caso di scioglimento del contratto secondo l’art. 8.3 CG, non era determinato, né facilmente determinabile. Ciò non si concilia con i principi dottrinali e giurisprudenziali esposti in ingresso. Infatti, se in linea di principio il contratto di leasing può costituire valido titolo di rigetto provvisorio dell’opposizione per quanto riguarda il pagamento delle rate esigibili, resta il fatto che un riconoscimento di debito deve riferirsi ad una somma di denaro determinata o facilmente determinabile al momento della stipulazione del contratto. Ne discende che il Pretore aggiunto avendo ritenuto il contratto di leasing insieme alle Condizioni generali valido riconoscimento di debito ai sensi dell’art. 82 cpv. 1 LEF per l’importo posto in esecuzione, ha applicato erroneamente il diritto.</w:t>
      </w:r>
    </w:p>
    <w:p>
      <w:r>
        <w:rPr>
          <w:b/>
        </w:rPr>
        <w:t>E. 9</w:t>
      </w:r>
    </w:p>
    <w:p>
      <w:r>
        <w:t>Il reclamo va quindi accolto. Tassa di giustizia, spese processuali e indennità seguono la soccombenza (art. 48, 61 cpv. 1 OTLEF; 106 cpv. 1 CPC). Per i quali motivi, richiamato l’art. 82 LEF pronuncia I. Il reclamo è accolto. Di conseguenza la decisione 18 ottobre 2011 del Pretore aggiunto della Giurisdizione di Mendrisio-Sud è così riformata: “1. L’istanza è respinta. 2. La tassa di giustizia, da anticipare dalla parte istante, resta a carico di CO 1, la quale     rifonderà a a RE 1 fr. 400.-- per ripetibili.” II. La tassa di giustizia e le spese processuali del presente giudizio di fr. 650.--, già anticipate dal reclamante, sono poste a carico di CO 1, la quale rifonderà a RE 1 fr. 600.-- per ripetibili. III. Intimazione: -    avv. PA 1, __________ - avv. PA 2, __________ Comunicazione alla Pretura della Giurisdizione di Mendrisio-Sud. Per la Camera di esecuzione e fallimenti del Tribunale d’appello Il presidente                                                                           La segretaria Giacché il valore litigioso della vertenza di fr 13'089.-- non raggiunge il limite di legge di fr. 30'000.--, contro la presente decisione è possibile presentare ricorso in materia civile al Tribunale federale, 1000 Losanna 14, entro 30 giorni dalla notificazione, sole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