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14.2011.109 vom 30. August 2011</w:t>
      </w:r>
    </w:p>
    <w:p>
      <w:r>
        <w:t>TI Tribunale d'appello, 2011-08-30, IT</w:t>
      </w:r>
    </w:p>
    <w:p>
      <w:r>
        <w:rPr>
          <w:b/>
        </w:rPr>
        <w:t xml:space="preserve">Quelle: </w:t>
      </w:r>
      <w:r>
        <w:t>https://mcp.opencaselaw.ch/entscheid/ti_gerichte_14.2011.109</w:t>
      </w:r>
    </w:p>
    <w:p>
      <w:r>
        <w:t>FR: TI_GERICHTE 14.2011.109 du 30 août 2011</w:t>
      </w:r>
    </w:p>
    <w:p>
      <w:r>
        <w:t>IT: TI_GERICHTE 14.2011.109 del 30 agosto 2011</w:t>
      </w:r>
    </w:p>
    <w:p>
      <w:pPr>
        <w:pStyle w:val="Heading2"/>
      </w:pPr>
      <w:r>
        <w:t>Regeste</w:t>
      </w:r>
    </w:p>
    <w:p>
      <w:r>
        <w:t>Rigetto provvisorio dell'opposizione. Contratto di mandato di costituizione di società. Onere della prova del corretto adempimento del mandato e della sua revoca</w:t>
      </w:r>
    </w:p>
    <w:p>
      <w:pPr>
        <w:pStyle w:val="Heading2"/>
      </w:pPr>
      <w:r>
        <w:t>Erwägungen</w:t>
      </w:r>
    </w:p>
    <w:p>
      <w:r>
        <w:rPr>
          <w:b/>
        </w:rPr>
        <w:t>E. 1</w:t>
      </w:r>
    </w:p>
    <w:p>
      <w:r>
        <w:t>Premesso che sia l’istanza di rigetto definitivo dell’opposizione, proposta il 7 marzo 2011, sia la decisione impugnata, che risale all’8 luglio 2011, sono posteriori all’entrata in vigore (il 1° gennaio 2011) del Codice di diritto processuale svizzero (CPC), tanto la procedura di prima istanza quanto quella ricorsuale sono rette dal nuovo diritto (art. 404 cpv. 1 e 405 cpv. 1 CPC).</w:t>
      </w:r>
    </w:p>
    <w:p>
      <w:r>
        <w:rPr>
          <w:b/>
        </w:rPr>
        <w:t>E. 1.1</w:t>
      </w:r>
    </w:p>
    <w:p>
      <w:r>
        <w:t>Di conseguenza, la decisione 8 luglio 2011 del Pretore di Lugano, Sezione 5, è riformata come segue: “1. L’istanza è parzialmente accolta e di conseguenza l’opposi­zione interposta al precetto esecutivo n. __________ dell'Ufficio esecuzione di Lugano è respinta in via provvisoria limitatamente a fr. 2'731,10, oltre interessi al 5% dal 14 luglio 2010. 2. La tassa di giustizia in fr. 300.-- è posta a carico delle parti in ragione di fr. 250.-- per l’istante e di fr. 50.-- per il convenuto. L’istante rifonderà a controparte fr. 1’000.-- a titolo di ripetibili ridotte.” 2. La tassa di giustizia di fr. 450.--, già anticipata dal reclamante, rimane a suo carico a concorrenza di fr. 50.--, mentre è posta per fr. 400.-- a carico di CO 1, la quale rifonderà ad RE 1 fr. 1’000.-- per parte di ripetibili. 3. Intimazione a:   – avv.PA 1, __________; – avv. PA 2, __________. Comunicazione alla Pretura di Lugano, Sezione 5. Per la Camera di esecuzione e fallimenti del Tribunale d’appello Il presidente                                                           Il segretario Giacché il valore litigioso della vertenza, di fr. 18'851,85 .--, non raggiunge il limite di legge di fr. 30'000.-, contro la presente decisione è possibile presentare ricorso in materia civile al Tribunale federale, 1000 Losanna 14, entro 30 giorni dalla notificazione, solo se la controversia concerne una questione di diritto di importanza fondamentale (art. 74 cpv. 2 lett. a LTF). Nello stesso termine è possibile proporre al Tribunale federale, 1000 Losanna 14, anche ricorso sussidiario in materia costituzionale (art. 113 e segg. LTF).</w:t>
      </w:r>
    </w:p>
    <w:p>
      <w:r>
        <w:rPr>
          <w:b/>
        </w:rPr>
        <w:t>E. 2</w:t>
      </w:r>
    </w:p>
    <w:p>
      <w:r>
        <w:t>Contro le sentenze di rigetto dell’opposizione è dato il rimedio giuridico del reclamo (combinati art. 309 lett. b. n. 3 e 319 lett. a CPC), da inoltrare entro 10 giorni dalla notifica della sentenza impugnata (combinati art. 251 lett. a e 321 cpv. 2 CPC). Proposto il 21 luglio 2011, ossia nel termine di dieci giorni decorrente dalla notifica della sentenza impugnata, avvenuta l’11 luglio 2011, il reclamo è perciò di principio ammissibile – anche senza tenere conto delle ferie estive – e rientra nella competenza della Camera di esecuzione e fallimenti (art. 48 lett. e n. 1 LOG). Sono pure tempestive le osservazioni dell’escutente, presentate lunedì 22 agosto 2011, siccome il ricorso gli è stato notificato l’11 agosto (combinati art. 322 e 142 cpv. 3 CPC).</w:t>
      </w:r>
    </w:p>
    <w:p>
      <w:r>
        <w:rPr>
          <w:b/>
        </w:rPr>
        <w:t>E. 3</w:t>
      </w:r>
    </w:p>
    <w:p>
      <w:r>
        <w:t>Secondo l’art. 320 CPC con il reclamo possono essere censurati sia l’applicazione errata del diritto sia l’accertamento manifestamente inesatto dei fatti.</w:t>
      </w:r>
    </w:p>
    <w:p>
      <w:r>
        <w:rPr>
          <w:b/>
        </w:rPr>
        <w:t>E. 4</w:t>
      </w:r>
    </w:p>
    <w:p>
      <w:r>
        <w:t>Giusta l’art. 82 cpv. 1 LEF se il credito si fonda sopra un riconoscimento di debito constatato mediante atto pubblico o scrittura privata, il creditore può chiedere il rigetto provvisorio dell'opposizione.</w:t>
      </w:r>
    </w:p>
    <w:p>
      <w:r>
        <w:rPr>
          <w:b/>
        </w:rPr>
        <w:t>E. 5</w:t>
      </w:r>
    </w:p>
    <w:p>
      <w:r>
        <w:t>Il giudice del rigetto accerta d'ufficio e in ogni stadio di causa – quindi anche in sede d'appello (rispettivamente di reclamo), e ciò a prescindere dalla presenza delle parti all’udienza di primo grado e, se presenti, dalle ragioni da loro sostenute (CEF 30 giugno 1972 in re __________, Rep. 1972, p. 344, cons. 6; CEF</w:t>
      </w:r>
    </w:p>
    <w:p>
      <w:r>
        <w:rPr>
          <w:b/>
        </w:rPr>
        <w:t>E. 8</w:t>
      </w:r>
    </w:p>
    <w:p>
      <w:r>
        <w:t>Il reclamo va quindi parzialmente accolto. Spese processuali e ripetibili seguono la soccombenza (art. 48 e 61 cpv. 1 OTLEF, 95 segg. CPC). Per i quali motivi, richiamati gli art. 82 LEF nonché 48 e 61 OTLEF, 95 segg. CPC; pronuncia 1. Il reclamo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