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14.2010.2 vom 3. März 2010</w:t>
      </w:r>
    </w:p>
    <w:p>
      <w:r>
        <w:t>TI Tribunale d'appello, 2010-03-03, IT</w:t>
      </w:r>
    </w:p>
    <w:p>
      <w:r>
        <w:rPr>
          <w:b/>
        </w:rPr>
        <w:t xml:space="preserve">Quelle: </w:t>
      </w:r>
      <w:r>
        <w:t>https://mcp.opencaselaw.ch/entscheid/ti_gerichte_14.2010.2</w:t>
      </w:r>
    </w:p>
    <w:p>
      <w:r>
        <w:t>FR: TI_GERICHTE 14.2010.2 du 3 mars 2010</w:t>
      </w:r>
    </w:p>
    <w:p>
      <w:r>
        <w:t>IT: TI_GERICHTE 14.2010.2 del 3 marzo 2010</w:t>
      </w:r>
    </w:p>
    <w:p>
      <w:pPr>
        <w:pStyle w:val="Heading2"/>
      </w:pPr>
      <w:r>
        <w:t>Regeste</w:t>
      </w:r>
    </w:p>
    <w:p>
      <w:r>
        <w:t>Rigetto provvisorio. Convenzione a saldo di rapporti di dare e avere. Condizione adempiuta</w:t>
      </w:r>
    </w:p>
    <w:p>
      <w:pPr>
        <w:pStyle w:val="Heading2"/>
      </w:pPr>
      <w:r>
        <w:t>Erwägungen</w:t>
      </w:r>
    </w:p>
    <w:p>
      <w:r>
        <w:rPr>
          <w:b/>
        </w:rPr>
        <w:t>E. 1</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pag. 331). Per giurisprudenza e dottrina costanti, il riconoscimento di debito, subordinato al verificarsi di una o più condizioni, legittima il giudice a pronunciare il rigetto dell’opposizione solo se il creditore ne dimostra l’avvenuto adempimento. Non riuscendo a far luce sulla causa della mancata realizzazione di una condizione, l’istanza di rigetto provvisorio dell’opposizione va respinta (Cometta, op. cit. pag. 338). Un riconoscimento di debito condizionato legittima a concedere il rigetto provvisorio dell’opposizione, quando l’adempimento della condizione viene provato in modo liquido. Un riconoscimento da parte del debitore non è necessario. L’adempimento della condizione non deve essere riconosciuto con un atto pubblico oppure con la firma del debitore. L’avverarsi della condizione deve invece essere provato dal creditore quale parte integrante del suo titolo. Il creditore non è limitato alla prova tramite documenti. Sono infatti permessi tutti i mezzi di prova, che possono venire presentati nella procedura sommaria (Staehelin, Basler Kommentar zum SchKG, Basilea/Ginevra/Monaco, 1998, n. 36 ad art. 82). Incontestato è che al momento della sottoscrizione da parte dell’escussa dei contratti di compravendita dei fogli di PPP no. __________, __________, __________ e __________ del fondo base no. __________ RFD di Lugano rispettivamente della costituzione del diritto di compera sulla quota di comproprietà di __________ del foglio di PPP no. __________ di __________ del fondo base no. __________ RFD di __________, avvenuti il 22 dicembre 2003, la relativa licenza edilizia per la ristrutturazione dell’edificio, compresa la regolamentazione dei posti auto del piano autorimessa, era già stata rilasciata. Infatti il Municipio di __________, con licenza riassuntiva del 7 novembre 2000 (doc. I), aveva già autorizzato la realizzazione di 78 posti auto. Ciò risulta - oltre che dalla sentenza 9 gennaio 2008 del TRAM (doc. C, consid. 3.2.2) - dalla sentenza 1° aprile 2009 del Tribunale federale, emessa a conclusione della procedura avente per oggetto l’ammissibilità del blocco di 34 posteggi ordinato dal Municipio di L__________ con decisione del 16 maggio 2006, susseguente alla predetta  licenza edilizia rilasciata il 7 novembre 2000 (doc. B, C e D). Quindi, già al momento della costituzione del diritto di compera per tre parcheggi a favore dell’appellante, l’autorizzazione rilasciata concerneva la realizzazione non di 80, bensì di 78 posti auto. La convenzione del 4 maggio 2006, stipulata dall’escussa con l’istante e G__________ G__________, a saldo dei loro rapporti di dare e avere, divenuta necessaria in seguito alle contestazioni sorte in relazione alla riattazione dei fondi acquistati dall’appellante, prevede il pagamento di rimanenti fr. 100'000.-- “ da versare alla AO 1 non appena sarà stata rilasciata la licenza di sanatoria che assicuri a AP 1 l’uso riservato di tre posti auto (doc. A, punto 2.b). Questa condizione si è realizzata con l’emanazione della sentenza del Tribunale federale del 1. aprile 2009 (doc. B), che ha stabilito in 78 i posti auto siti nell’autorimessa. Infatti al passaggio contenuto nel punto 2.b della convenzione doc. A “ che assicuri a AP 1 l’uso riservato di tre posti auto ”, utilizzato in relazione con il rilascio della licenza di sanatoria, può solo essere attribuito il significato che il numero totale di posti auto concesso dalla licenza assicuri all’escussa tre parcheggi. Questo è palesemente il caso con il rilascio dell’autorizzazione di 78 posti auto. D’altro canto l’appellante non poteva ritenere in buona fede che per finire sarebbero stati approvati 80 posteggi, atteso che sin dall’inizio, i piani esecutivi ne indicavano il numero e l’ubicazione di 78. Per quanto riguarda la garanzia, rilasciata dalla AO 1 e da G__________ G__________ a favore dell’appellante, in relazione all’uso riservato di tre posti auto, quale fosse stato il numero totale di posti per finire autorizzato a seguito della procedura per sanatoria rispettivamente all’impegno di stabilire tale uso riservato di tre posti auto per regolamento annotato a Registro fondiario, non emerge dalla convenzione doc. A che tali obblighi, concordati al punto 4 e non sotto le modalità e condizioni di pagamento, di cui al punto 2, dovevano essere adempiuti previamente o simultaneamente al pagamento dei rimanenti fr. 100'000.--. D’altro canto la modifica del Regolamento condominiale dipende dalla Comunione dei comproprietari e non solo dalla AO 1 e da G__________ G__________, che non avrebbero pertanto, da soli, potuto assumersi questo obbligo. Essendosi realizzata la condizione prevista al punto 2.b della convenzione doc. A, l’obbligo di pagare fr. 100'000.-- all’istante, assunto dall’appellante, costituisce valido riconoscimento di debito ai sensi dell’art. 82 cpv. 1 LEF. La sentenza pretorile va quindi confermata.</w:t>
      </w:r>
    </w:p>
    <w:p>
      <w:r>
        <w:rPr>
          <w:b/>
        </w:rPr>
        <w:t>E. 2</w:t>
      </w:r>
    </w:p>
    <w:p>
      <w:r>
        <w:t>La tassa di giustizia di fr. 600.--, già anticipata dall’appellante, resta a carico di AP 1, la quale rifonderà a AO 1 fr. 1'500.-- a titolo di indennità.</w:t>
      </w:r>
    </w:p>
    <w:p>
      <w:r>
        <w:rPr>
          <w:b/>
        </w:rPr>
        <w:t>E. 3</w:t>
      </w:r>
    </w:p>
    <w:p>
      <w:r>
        <w:t>Intimazione:    - avv. PA 2, __________                                - avv. PA 1, __________ Comunicazione alla Pretura del Distretto di __________ Per la Camera di esecuzione e fallimenti del Tribunale d’appello Il presidente                                                                             La segretaria Giacché il valore litigioso della vertenza è di fr. 100'000.--,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