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14.2008.4 vom 3. Juli 2008</w:t>
      </w:r>
    </w:p>
    <w:p>
      <w:r>
        <w:t>TI Tribunale d'appello, 2008-07-03, IT</w:t>
      </w:r>
    </w:p>
    <w:p>
      <w:r>
        <w:rPr>
          <w:b/>
        </w:rPr>
        <w:t xml:space="preserve">Quelle: </w:t>
      </w:r>
      <w:r>
        <w:t>https://mcp.opencaselaw.ch/entscheid/ti_gerichte_14.2008.4</w:t>
      </w:r>
    </w:p>
    <w:p>
      <w:r>
        <w:t>FR: TI_GERICHTE 14.2008.4 du 3 juillet 2008</w:t>
      </w:r>
    </w:p>
    <w:p>
      <w:r>
        <w:t>IT: TI_GERICHTE 14.2008.4 del 3 luglio 2008</w:t>
      </w:r>
    </w:p>
    <w:p>
      <w:pPr>
        <w:pStyle w:val="Heading2"/>
      </w:pPr>
      <w:r>
        <w:t>Regeste</w:t>
      </w:r>
    </w:p>
    <w:p>
      <w:r>
        <w:t>Contratto di appalto quale titolo di rigetto provvisorio</w:t>
      </w:r>
    </w:p>
    <w:p>
      <w:pPr>
        <w:pStyle w:val="Heading2"/>
      </w:pPr>
      <w:r>
        <w:t>Erwägungen</w:t>
      </w:r>
    </w:p>
    <w:p>
      <w:r>
        <w:rPr>
          <w:b/>
        </w:rPr>
        <w:t>E. 1</w:t>
      </w:r>
    </w:p>
    <w:p>
      <w:r>
        <w:t>Se il credito si fonda su un riconoscimento di debito constatato mediante atto pubblico o scrittura privata, il creditore può chiedere il rigetto provvisorio dell'opposizione (art. 82 cpv. 1 LEF). La nozione di riconoscimento di debito constatato mediante scrittura privata,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emergano gli elementi necessari. Condizione essenziale è che la somma di denaro riconosciuta sia facilmente determinabile secondo criteri oggettivi stabiliti in precedenza e sottratti a possibilità di modifica unilaterale dipendente dalla volontà delle parti ( Cometta , Il rigetto provvisorio dell'opposizione nella prassi giudiziaria ticinese, in: Rep 1989 pag. 338 con riferimenti). Il contratto di appalto firmato costituisce valido titolo di rigetto provvisorio dell’opposizione per la mercede. Nel caso in cui l’adempimento avviene contemporaneamente con la consegna dell’opera, secondo la prassi basilese, il rigetto dell’opposizione può venire concesso, fintanto che il committente non eccepisce che l’opera non è stata effettuata oppure non è stata regolarmente eseguita e consegnata, nel caso in cui questa eccezione è chiaramente senza fondamento oppure viene immediatamente confutata dall’appaltatore. In caso di difetti il committente deve inoltre rendere verosimile di averli tempestivamente notificati (cfr. CEF 8 maggio 2002 [14.02.18], cons. 1b; Staehelin, Basler Kommentar zum SchKG, vol. I, Basilea/Ginevra/Monaco, 1998, n. 128 ad art. 82). Il contratto di appalto doc. C prevede, quale mercede per l’edificazione di una casa prefabbricata, l’importo di Euro 135'627.--, IVA compresa. Secondo la clausola § 8.1 dell’annesso 5 (doc. C4) combinata con la clausola § 8.1 VOB Teil B dell’annesso 6 (doc. C5), in caso di rescissione da parte della committente, l’appaltatrice poteva fatturarle almeno il 10% della mercede quale compenso forfettario. Questa percentuale, determinabile dall’insieme dei citati documenti sottoscritti dall’escussa, permetteva di determinare, già al momento della firma del contratto in oggetto, l’importo minimo che la procedente avrebbe potuto chiedere all’escussa in caso di rescissione del contratto da parte di quest’ultima. Il contratto di appalto doc. C, considerato insieme con i predetti annessi doc. C4 e C5, costituisce pertanto, in via di principio, valido titolo di rigetto provvisorio dell’opposizione ai sensi dell’art. 82 cpv. 1 LEF per il predetto compenso forfettario del 10% del prezzo pattuito posto in esecuzione.</w:t>
      </w:r>
    </w:p>
    <w:p>
      <w:r>
        <w:rPr>
          <w:b/>
        </w:rPr>
        <w:t>E. 2</w:t>
      </w:r>
    </w:p>
    <w:p>
      <w:r>
        <w:t>Giusta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(DTF 104 Ia 413 consid. 4; Jaeger/Walder/Kull/Kottmann, Bundesgesetz über Schuldbetreibung und Konkurs, vol. I, 4 a ed., Zurigo 1997, n. 28 ad art. 82; Staehelin, op. cit., n. 87 seg. ad art. 82 LEF; Gilliéron, Commentaire de la LP (art. 1-88), Losanna 1999, n. 82 a ad art. 82; Stücheli, Die Rechtsoeffnung, Zurigo 2000, pag . 350 con riferimenti). L’escussa sostiene di avere commissionato e pagato a terzi, ossia all’arch. __________, i piani relativi all’edificio oggetto del contratto di appalto, per cui la procedente non avrebbe subito alcun danno dalla rescissione del contratto, rilevando che questa sua affermazione non è stata contestata dalla creditrice. L’appellata ha inoltre eccepito inadempienza da parte dell’appaltatrice. a) Come visto in precedenza l’appellata ha accettato la clausola secondo la quale, in caso di disdetta da parte sua, l’appaltatrice poteva fatturarle un importo forfettario di almeno il 10% del prezzo pattuito (§ 8.1. delle Condizioni contrattuali, doc. C4; § 8 VOB Teil B, doc. C5 ). Secondo il § 8.4. dell’annesso relativo alle precitate Condizioni contrattuali (doc. C4) le parti, nel caso di specie l’appellata, aveva la facoltà di provare che un compenso inferiore era da ritenersi adeguato ( “bleibt der Auftraggeberin/dem Auftraggeber der Nachweis unbenommen, dass eine niedrige Vergütung angemessen ist.” ) Orbene l’escussa, con scritto 17 gennaio 2006 (doc. H), ha dichiarato di essere disposta a pagare le spese di allestimento del preventivo e del contratto. All’udienza di contraddittorio ha poi sostenuto di avere commissionato e pagato i piani a terzi , ossia all’arch. __________, per cui la parte istante non avrebbe subito danni derivanti dalla rescissione del contratto. L’escussa non ha prodotto alcun documento a comprova di quanto asserito. D’altro canto è vero che la procedente non ha contestato quanto affermato dall’escussa. A proposito dei piani va tuttavia ritenuto quanto segue. Dal contratto di appalto doc. C si evince che l’annesso 1 consisteva nei piani da 1 a 8 (“ Zeichnerische Anlagen 1 bis 8 ”) recanti la data 13 agosto 2005, corrispondenti all’annesso C1 composto appunto da 8 piani allestiti dall’arch. __________. Dalla loro data, 13 agosto 2005, si evince che sono stati allestiti anteriormente alla stipula del contratto di appalto, ritenuto che l’appellante, dopo averli accettati, li ha inseriti nel contratto, che ha poi sottoscritto per consenso in data 5 settembre 2005, data di entrata in vigore del contratto di appalto, come emerge dal § 3 ( “Dieser Vertrag kommt erst mit Zustimmung durch AP 1 zustande” ). Dal contratto di appalto doc. C si evince inoltre che le prestazioni dell’architetto incluse nella mercede concordata (“serienmässige Architekturleistungen” ) sono elencate in un altro annesso 4, corrispondente al doc. C4. Per cui i piani che l’escussa ha dichiarato di avere pagato all’Arch. __________ non erano inclusi nelle prestazioni previste dal contratto di appalto e di conseguenza il loro pagamento non può essere dedotto dall’importo forfettario del 10% della mercede pattuita. D’altro canto il § 3 delle VOB Teil B (doc. C5) prevede che i documenti necessari per l’esecuzione devono essere consegnati all’appaltatrice gratuitamente e tempestivamente (“D ie für die Ausführung nötigen Unterlagen sind dem Auftragnehmer unentgeltlich und rechtzeitig zu übergeben“) . L’escussa non ha quindi reso verosimile di avere effettuato pagamenti deducibili dall’importo forfettario, posto in esecuzione, del 10% del valore della mercede. In merito all’eccepita inadempienza della ditta appaltatrice l’appellata non ha fornito alcun riscontro oggettivo. b) Di conseguenza il contratto di appalto doc. C, considerato insieme con i doc. C4 e C5, costituisce valido titolo di rigetto provvisorio dell’opposizione per il 10% del valore della mercede, ossia per Euro 13'562.--, equivalenti a Fr. 21'117.10 (doc. F), oltre interessi al 5% dal 1. gennaio 2006 (doc. F), l’ammontare del credito posto in esecuzione dovendo essere presentato in valuta legale svizzera (art. 67 cpv. 1 n. 3 LEF). D’altro canto la mercede riconosciuta dalla committente con la sottoscrizione del contratto d’appalto era stata fissata in Euro.</w:t>
      </w:r>
    </w:p>
    <w:p>
      <w:r>
        <w:rPr>
          <w:b/>
        </w:rPr>
        <w:t>E. 3</w:t>
      </w:r>
    </w:p>
    <w:p>
      <w:r>
        <w:t>L’appello va quindi accolto. Tassa di giustizia e indennità seguono la soccombenza (art. 48, 49, 61 cpv. 1 e 62 cpv. 1 OTLEF). Per i quali motivi, richiamato gli art. 67 cpv. 1 cifra 3 e 82 LEF pronuncia I. L’appello è accolto . Di conseguenza la sentenza 10 dicembre 2007 del Pretore  del __________ è così riformata: “1.    L’istanza è accolta. Di conseguenza l’opposizione interposta da AO 1, __________, al PE n. __________ del 16/17 ottobre 2007 __________ è rigettata in via provvisoria per fr. 21'117.90 oltre interessi al 5% dal 1. gennaio 2006. 2.      La tassa di giustizia di fr. 160.--, da anticipare dalla parte istante, è posta a carico di AO 1, la quale rifonderà a AP 1 Fr. 500.- a titolo di indennità.” II. La tassa di giustizia del presente giudizio di fr. 240.--, già anticipata dall’appellante, è posta a carico di AO 1, la quale rifonderà a AP 1 AG fr. 500.-a titolo di indennità. III. Intimazione: - avv. PA 1, __________ - AO 1, __________ Comunicazione alla Pretura del __________ Per la Camera di esecuzione e fallimenti del Tribunale d’appello Il presidente                                                                             La segretaria Giacché il valore litigioso della vertenza, di Fr. 21'117.90,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