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14.2008.124 vom 26. März 2009</w:t>
      </w:r>
    </w:p>
    <w:p>
      <w:r>
        <w:t>TI Tribunale d'appello, 2009-03-26, IT</w:t>
      </w:r>
    </w:p>
    <w:p>
      <w:r>
        <w:rPr>
          <w:b/>
        </w:rPr>
        <w:t xml:space="preserve">Quelle: </w:t>
      </w:r>
      <w:r>
        <w:t>https://mcp.opencaselaw.ch/entscheid/ti_gerichte_14.2008.124</w:t>
      </w:r>
    </w:p>
    <w:p>
      <w:r>
        <w:t>FR: TI_GERICHTE 14.2008.124 du 26 mars 2009</w:t>
      </w:r>
    </w:p>
    <w:p>
      <w:r>
        <w:t>IT: TI_GERICHTE 14.2008.124 del 26 marzo 2009</w:t>
      </w:r>
    </w:p>
    <w:p>
      <w:pPr>
        <w:pStyle w:val="Heading2"/>
      </w:pPr>
      <w:r>
        <w:t>Regeste</w:t>
      </w:r>
    </w:p>
    <w:p>
      <w:r>
        <w:t>Opposizione a sequestro: esistenza del credito - legittimazione attiva -credito fondato su attestato di carenza di beni e oggetto, in un secondo tempo, di una cessione di credito</w:t>
      </w:r>
    </w:p>
    <w:p>
      <w:pPr>
        <w:pStyle w:val="Heading2"/>
      </w:pPr>
      <w:r>
        <w:t>Erwägungen</w:t>
      </w:r>
    </w:p>
    <w:p>
      <w:r>
        <w:rPr>
          <w:b/>
        </w:rPr>
        <w:t>E. 2</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 La protection du débiteur et des tiers dans le nouveau droit du séquestre, tesi Losanna 1997, pag. 213 seg. con rif.; Artho von Gunten , Die Arresteinsprache, tesi Zurigo 2001,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 a ed., Berna 2001, n. 24 ad cap. 6 e n. 12 ad cap. 10). Il giudice può accontentarsi della semplice verosimiglianza dei fatti ed esaminare sommariamente i punti di diritto nella misura compatibile con l'esigenza di celerità ( Hohl , La réalisation du droit et les procédures rapides, tesi Friborgo 1997, n. 453; Piégai , op. cit., pag. 212; Artho von Gunten , op. cit., pag. 85 segg.; Gilliéron , Commentaire de la LP, vol. IV, Losanna 2003, n. 10-15 ad art. 272).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3</w:t>
      </w:r>
    </w:p>
    <w:p>
      <w:r>
        <w:t>In virtù dell'art. 278 cpv. 3 LEF, le parti possono, nell'ambito del ricorso contro la decisione su opposizione, avvalersi di fatti nuovi.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Le limitazioni di cui all'art. 20 cpv. 2 e 3 LALEF non sono applicabili in materia di sequestro (art. 22 cpv. 4 LALEF). Di modo che, è in sé ricevibile l'eccezione di falso in documenti rivolta alla dichiarazione 17 aprile 2007 del cessionario __________ attestante l'estinzione del debito (doc. 7) e sollevata per la prima volta in appello (pag. 12 n. 2b). Vanno per contro estromessi dall'incarto l'estratto della denuncia penale del 2 dicembre 2008 e la lettera 6 marzo 2009 del Ministero pubblico prodotti con riferimento alla fedefacenza di quello medesimo documento -e nell'intento di postulare una sospensione della procedura di ricorso- solo il 16 marzo 2009 ben oltre il termine di dieci giorni per proporre l'appello.</w:t>
      </w:r>
    </w:p>
    <w:p>
      <w:r>
        <w:rPr>
          <w:b/>
        </w:rPr>
        <w:t>E. 4</w:t>
      </w:r>
    </w:p>
    <w:p>
      <w:r>
        <w:t>Giusta l'art. 272 cpv. 1 LEF, il sequestro viene concesso dal giudice del luogo in cui si trovano i beni, purché il creditore renda verosimile l'esistenza: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