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14.2006.52 vom 28. September 2006</w:t>
      </w:r>
    </w:p>
    <w:p>
      <w:r>
        <w:t>TI Tribunale d'appello, 2006-09-28, IT</w:t>
      </w:r>
    </w:p>
    <w:p>
      <w:r>
        <w:rPr>
          <w:b/>
        </w:rPr>
        <w:t xml:space="preserve">Quelle: </w:t>
      </w:r>
      <w:r>
        <w:t>https://mcp.opencaselaw.ch/entscheid/ti_gerichte_14.2006.52</w:t>
      </w:r>
    </w:p>
    <w:p>
      <w:r>
        <w:t>FR: TI_GERICHTE 14.2006.52 du 28 septembre 2006</w:t>
      </w:r>
    </w:p>
    <w:p>
      <w:r>
        <w:t>IT: TI_GERICHTE 14.2006.52 del 28 settembre 2006</w:t>
      </w:r>
    </w:p>
    <w:p>
      <w:pPr>
        <w:pStyle w:val="Heading2"/>
      </w:pPr>
      <w:r>
        <w:t>Regeste</w:t>
      </w:r>
    </w:p>
    <w:p>
      <w:r>
        <w:t>Rigetto definitivo dell'opposizione: attestato di carenza di beni per crediti d'imposta quale titolo di credito</w:t>
      </w:r>
    </w:p>
    <w:p>
      <w:pPr>
        <w:pStyle w:val="Heading2"/>
      </w:pPr>
      <w:r>
        <w:t>Erwägungen</w:t>
      </w:r>
    </w:p>
    <w:p>
      <w:r>
        <w:rPr>
          <w:b/>
        </w:rPr>
        <w:t>E. 1</w:t>
      </w:r>
    </w:p>
    <w:p>
      <w:r>
        <w:t>Giusta l'art. 80 cpv. 1 LEF quando il credito sia fondato sopra una sentenza esecutiva, il creditore può chiedere in giudizio il rigetto definitivo dell'opposizione. Sono segnatamente considerate sentenze esecutive, entro il territorio cantonale, le decisioni di autorità amministrative cantonali riguardanti obbligazioni fondate sul diritto pubblico, quali le imposte, in quanto il diritto cantonale le parifichi a sentenze esecutive (art. 80 cpv. 2 n. 3 LEF); ciò che è il caso nel cantone Ticino (art. 244 cpv. 3 LT e art. 28 LALEF). Il giudice del rigetto accerta d'ufficio e in ogni stadio di causa (quindi pure in sede di appello) l'esistenza di un valido titolo di rigetto definitivo dell'opposizione (cfr. Staehelin , Basler Kommentar zum SchKG, Basilea/Ginevra/Monaco 1998, vol. I, n. 50 ad art. 84, Gilliéron , Commentaire de la LP, vol. I, Losanna 1999, n. 22 ad art. 80; Stücheli , Die Rechtsöffnung, tesi, Zurigo 2000, pag. 112 ad c). In concreto, il procedente ha prodotto gli attestati di carenza di beni emessi in suo favore al termine di varie procedure esecutive tendenti all'incasso del saldo dovuto per imposte comunali 1980, 1983, 1984, 1985 e 1987. Non ha invece prodotto le relative decisioni fiscali.</w:t>
      </w:r>
    </w:p>
    <w:p>
      <w:r>
        <w:rPr>
          <w:b/>
        </w:rPr>
        <w:t>E. 2</w:t>
      </w:r>
    </w:p>
    <w:p>
      <w:r>
        <w:t>Un attestato di carenza di beni vale come riconoscimento di debito ai sensi dell'art. 82 LEF (art. 149 cpv. 2 LEF). Esso non comporta novazione del credito posto originariamente in esecuzione, ma attesta che il credito nei confronti dell'escusso non è stato soddisfatto o lo è stato solo parzialmente, di modo che sono garantiti gli effetti del titolo costitutivo di quel credito (Staehelin, op. cit., n. 44 e 45 ad art. 149). Sennonché, ciò vale per i crediti a fronte dei quali il debitore può successivamente proporre azione di disconoscimento del debito al fine di verificare il merito della questione ( Stücheli , op. cit., pag. 383). Per contro, per i crediti fondati sul diritto pubblico e accertati nell'ambito di una procedura amministrativa -quali appunto i crediti d'imposta- è data la possibilità di ottenere il rigetto definitivo dell'opposizione, considerando quale titolo esecutivo la decisione amministrativa su cui si fonda il credito (SJZ 61 (1965) pag. 375, 91 (1995) pag. 455; Panchaud/Caprez, Die Rechtsöffnung, Zurigo 1980, § 54 n. 8 pag. 128; Cometta , Il rigetto provvisorio dell’opposizione nella prassi giudiziaria ticinese, in: Rep. 1989 pag. 345; Staehelin, op. cit., n. 46 e 162 ad art. 82; Stücheli, op. cit., pag. 393); l'attestato di carenza di beni -prodotto contestualmente- assume pertanto solo il ruolo di accertare la non intervenuta prescrizione del credito, applicandosi il termine ventennale dell'art. 149a cpv. 1 LEF.</w:t>
      </w:r>
    </w:p>
    <w:p>
      <w:r>
        <w:rPr>
          <w:b/>
        </w:rPr>
        <w:t>E. 3</w:t>
      </w:r>
    </w:p>
    <w:p>
      <w:r>
        <w:t>Nel caso concreto, producendo solo gli attestati di carenza di beni, l'istante non ha sostanziato la sua pretesa con un titolo atto all'ottenimento del rigetto definitivo dell'opposizione ( Staehelin, op. cit., n. 162 ad art. 82 e 41 ad art. 149). L'opposizione interposta dall'escusso al precetto esecutivo, non può pertanto essere rigettata in via definitiva. Ma nemmeno in via provvisoria, per quanto già detto, ovvero a dipendenza della natura del credito posto in esecuzione e della conseguente impossibilità di verifica del credito nelle vie ordinarie.</w:t>
      </w:r>
    </w:p>
    <w:p>
      <w:r>
        <w:rPr>
          <w:b/>
        </w:rPr>
        <w:t>E. 4</w:t>
      </w:r>
    </w:p>
    <w:p>
      <w:r>
        <w:t>Ancorché per motivi in parte diversi da quelli addotti dall'appellante, l'impugnazione dev'essere così accolta, con il conseguente carico all'istante degli oneri processuali di questa sede. Per i quali motivi, richiamati per le spese gli art. 48, 49, 61 cpv. 1 e 62 cpv. 1 OTLEF , pronuncia 1. L'appello 2 giugno 2006 di AP 1, __________, è accolto. Di conseguenza i dispositivi n. 1 e 2 della sentenza 22 maggio 2006 del Segretario assessore della Pretura del Distretto __________, vengono riformati come segue: “1.  L'istanza di rigetto definitivo dell'opposizione 17 marzo 2006 del AO 1 nei confronti di AP 1, __________, è respinta. 2.   Le spese e la tassa di giustizia per complessivi fr. 190.–, da anticipare dalla parte istante, restano a suo carico, con l'obbligo di rifondere a AP 1, __________, fr. 280.– a titolo di indennità.” 2. La tassa di giustizia di fr. 285.–, già anticipata dall'appellante, è posta a carico del AO 1, con l'obbligo di rifondere a AP 1, __________, fr. 500.– a titolo di indennità. 3. Intimazione a:      – RA 2, __________; – RA 1, __________. Comunicazione alla Pretura del Distretto di __________. terzi implicati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