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14.2005.95 vom 30. November 2005</w:t>
      </w:r>
    </w:p>
    <w:p>
      <w:r>
        <w:t>TI Tribunale d'appello, 2005-11-30, IT</w:t>
      </w:r>
    </w:p>
    <w:p>
      <w:r>
        <w:rPr>
          <w:b/>
        </w:rPr>
        <w:t xml:space="preserve">Quelle: </w:t>
      </w:r>
      <w:r>
        <w:t>https://mcp.opencaselaw.ch/entscheid/ti_gerichte_14.2005.95</w:t>
      </w:r>
    </w:p>
    <w:p>
      <w:r>
        <w:t>FR: TI_GERICHTE 14.2005.95 du 30 novembre 2005</w:t>
      </w:r>
    </w:p>
    <w:p>
      <w:r>
        <w:t>IT: TI_GERICHTE 14.2005.95 del 30 novembre 2005</w:t>
      </w:r>
    </w:p>
    <w:p>
      <w:pPr>
        <w:pStyle w:val="Heading2"/>
      </w:pPr>
      <w:r>
        <w:t>Regeste</w:t>
      </w:r>
    </w:p>
    <w:p>
      <w:r>
        <w:t>Appello contro la dichiarazione di fallimento.</w:t>
      </w:r>
    </w:p>
    <w:p>
      <w:pPr>
        <w:pStyle w:val="Heading2"/>
      </w:pPr>
      <w:r>
        <w:t>Erwägungen</w:t>
      </w:r>
    </w:p>
    <w:p>
      <w:r>
        <w:rPr>
          <w:b/>
        </w:rPr>
        <w:t>E. 36</w:t>
      </w:r>
    </w:p>
    <w:p>
      <w:r>
        <w:t>n. 58 p. 294, § 38 n. 14 p. 305; Brönnimann , Novenrecht und Weiterziehung des Entscheides des Konkursgerichtes gemäss Art. 174 E SchKG, p. 446 ss. in Festschrift H.U. Walder , Recht und Rechtsdurchsetzung, Zurigo 1994; SJZ 95 (1999) n. 8 p. 172). c) Dalla ricevuta __________ __________ (doc. L) si evince che l'appellante ha saldato, posteriormente alla dichiarazione di fallimento, l'esecuzione in oggetto n. __________, per cui risulta adempiuto il presupposto previsto all'art. 174 cpv. 2 n. 1 LEF. Per quel che concerne il requisito della solvibilità va ritenuto che dall’estratto 22 novembre 2005 __________ risulta che nei confronti dell’appellante sono pendenti 2 esecuzioni, una, per un importo di fr. 337.--, è giunta allo stadio di opposizione totale, per cui in questa fase di procedura il debito non può ancora essere ritenuto accertato. Per la seconda esecuzione, per l’importo esiguo di fr. 424.--, l’11 febbraio 2005 è stata emessa la comminatoria di fallimento, senza tuttavia che la rispettiva creditrice abbia chiesto il fallimento di AP 1. Orbene il fatto che l’appellante sia stata in grado di saldare con un versamento unico di fr. 9'397.-- tutti i suoi debiti nei confronti della AO 1, dimostra che essa dispone di liquidità sufficiente per far fronte ai suoi impegni. Dal citato estratto emerge inoltre che nei confronti dell’appellante non vi sono attestati di carenza di beni. __________, ritenuto che AP 1 è ora domiciliata a Stabio, ha poi confermato che nei confronti di quest’ultima non sono pendenti né esecuzioni, né attestati di carenza di beni. Il presupposto della solvibilità appare reso sufficientemente verosimile . Di conseguenza risultando adempiuti i requisiti previsti dall'art. 174 cpv. 2 LEF, il fallimento di AP 1 può essere annullato. 2. L'appello 16 settembre 2005 di AP 1 va quindi accolto. La tassa di giustizia è posta a carico dell'appellante in entrambe le sedi (art. 49 OTLEF). Non si assegnano indennità, non avendo la parte appellata presentato osservazioni (art. 62 cpv. 2 OTLEF). Le spese dell'Ufficio fallimenti sono caricate all'appellante. Per questi motivi, richiamato l'art. 174 cpv. 2 LEF pronuncia:                    I. L'appello 16 settembre 2005 di AP 1 __________, è accolto. " 1. La dichiarazione di fallimento 6 settembre 2005 pronunciata __________ inc. EF.__________ nei confronti di AP 1, __________, è annullata. 2. La tassa di giustizia di prima sede di fr. 80.--, da anticipare come di rito, è posta a carico di AP 1. 3. Le spese dell'Ufficio __________, da anticipare come di rito, sono poste a carico di AP 1. II. La tassa di giustizia di fr. 120.-- del presente giudizio, già anticipata dall'appellante, resta a carico di AP 1. Non si assegnano indennità. III. Intimazione a: –   RA 1; –   AO 1; – Ufficio __________ – Ufficio dei registri __________; Comunicazione alla Pretura __________.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