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14.2005.71 vom 16. Dezember 2005</w:t>
      </w:r>
    </w:p>
    <w:p>
      <w:r>
        <w:t>TI Tribunale d'appello, 2005-12-16, IT</w:t>
      </w:r>
    </w:p>
    <w:p>
      <w:r>
        <w:rPr>
          <w:b/>
        </w:rPr>
        <w:t xml:space="preserve">Quelle: </w:t>
      </w:r>
      <w:r>
        <w:t>https://mcp.opencaselaw.ch/entscheid/ti_gerichte_14.2005.71</w:t>
      </w:r>
    </w:p>
    <w:p>
      <w:r>
        <w:t>FR: TI_GERICHTE 14.2005.71 du 16 décembre 2005</w:t>
      </w:r>
    </w:p>
    <w:p>
      <w:r>
        <w:t>IT: TI_GERICHTE 14.2005.71 del 16 dicembre 2005</w:t>
      </w:r>
    </w:p>
    <w:p>
      <w:pPr>
        <w:pStyle w:val="Heading2"/>
      </w:pPr>
      <w:r>
        <w:t>Regeste</w:t>
      </w:r>
    </w:p>
    <w:p>
      <w:r>
        <w:t>Procedura esecutiva sulla base di contratto di appalto superato da accordo successivo. Notifica tardiva di difetti.</w:t>
      </w:r>
    </w:p>
    <w:p>
      <w:pPr>
        <w:pStyle w:val="Heading2"/>
      </w:pPr>
      <w:r>
        <w:t>Erwägungen</w:t>
      </w:r>
    </w:p>
    <w:p>
      <w:r>
        <w:rPr>
          <w:b/>
        </w:rPr>
        <w:t>E. 1</w:t>
      </w:r>
    </w:p>
    <w:p>
      <w:r>
        <w:t>a) Per l’art. 82 cpv. 1 LEF se il credito si fonda su un riconoscimento di debito constatato mediante atto pubblico o scrittura privata, il creditore può chiedere il rigetto provvisorio dell'opposizione. b) La nozione di riconoscimento di debito constatato mediante scrittura privata ex art. 82 cpv. 1 LEF, che non è definita dalla legge, implica necessariamente il riconoscimento da parte dell’escusso o del suo rappresentante di un'obbligazione in relazione a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 Anche un contratto può costituire in linea di principio riconoscimento di debito, ritenuto l'ossequio delle peculiarità del caso di specie. c) Il contratto di appalto firmato può costituire valido titolo di rigetto provvisorio dell'opposizione per la mercede. Nel caso in cui l'adempimento avviene contemporaneamente con la consegna dell'opera, secondo la prassi basilese il rigetto dell'opposizione può venire concesso, fintanto che il committente non eccepisce che l'opera non è stata affatto oppure non è stata regolarmente eseguita e consegnata, nel caso in cui questa eccezione è chiaramente senza fondamento oppure viene immediatamente confutata dall'appaltatore. In caso di difetti il committente deve inoltre rendere verosimile di averli tempestivamente notificati (cfr. CEF 18 ottobre 2004 (14.2004.66) cons. 2c e CEF 8 maggio 2002 (14.2002.18) cons. 1b; Staehelin , Basler Kommentar zum SchKG, vol. I, Basilea/Ginevra/Monaco, n. 87 s. ad art. 82 LEF; Gilliéron , Commentaire de la LP, vol. I, Losanna 1999., n. 128 ad art. 82). d) Il giudice del rigetto accerta d'ufficio e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1989 pag. 331). e) La dichiarazione di riconoscimento di debito è una dichiarazione di volontà con la quale il debitore si obbliga a pagare una certa somma di denaro: essa dev’essere chiara, esplicita, non equivoca, non discutibile o soggetta a interpretazione (cfr. Panchaud/Caprez , Die Rechtsöffnung, Zurigo 1980, § 1 n. 7 p. 3).</w:t>
      </w:r>
    </w:p>
    <w:p>
      <w:r>
        <w:rPr>
          <w:b/>
        </w:rPr>
        <w:t>E. 1.1</w:t>
      </w:r>
    </w:p>
    <w:p>
      <w:r>
        <w:t>Di conseguenza la sentenza 13 giugno 2005 del Pretore del Distretto di __________, è così riformata: " 1. L'istanza di rigetto provvisorio dell’opposizione del 17 gennaio 2005 promossa da AO 1, __________, contro AP 1, __________, è parzialmente accolta. 1.1.  L’opposizione interposta da AP 1, __________, al precetto esecutivo n. __________ del 17/21 dicembre 2004 dell’__________ è rigettata in via provvisoria per fr. 4’000.-- oltre interessi al 5% dal 5 agosto 2004. 2. La tassa di giustizia di fr. 100.--, da anticipare dalla parte istante, è a carico per 6/10 di AO 1 e per 4/10 di AP 1. AO 1 rifonderà a AP 1 fr. 40.-- per parte di indennità." 2. La tassa di giustizia del presente giudizio di fr. 150.--, già anticipata dall’appellante, è a carico per 6/10 di AO 1 e per 4/10 di AP 1. AO 1 rifonderà a AP 1, __________, fr. 50.-- per parte di di indennità.</w:t>
      </w:r>
    </w:p>
    <w:p>
      <w:r>
        <w:rPr>
          <w:b/>
        </w:rPr>
        <w:t>E. 2</w:t>
      </w:r>
    </w:p>
    <w:p>
      <w:r>
        <w:t>Dalla documentazione versata agli atti risulta che l’impegno dei committenti di versare alla consegna della casa il saldo di fr. 10'000.--, contenuto nel contratto di appalto di cui al doc. A, è stato superato dall’accordo di data 5 maggio 2004 (doc. D), nel quale i committenti si sono dichiarati debitori nei confronti della AO 1 di fr. 10'000.-- ed inoltre creditrice e debitori hanno convenuto che quanto ancora dovuto sarebbe stato saldato in rate mensili di fr. 500.-- cadauna. In tale accordo le parti hanno omesso di stabilire quando la prima rata avrebbe dovuto essere versata dai debitori: per l’art. 75 CO quindi essa era esigibile dal momento della sottoscrizione dell’accordo, ossia dal 5 maggio 2004. Il doc. D costituisce pertanto, in linea di principio, valido titolo di rigetto dell’opposizione ex art. 82 LEF limitatamente a fr. 4'000.-- oltre accessori, corrispondenti a fr. 500.-- per le otto mensilità che avrebbero dovuto essere versate dalla sottoscrizione dell’accordo (maggio 2004) all’emissione del precetto esecutivo (dicembre 2004). Il doc. D non costituisce invece titolo di rigetto per l’importo di fr. 10'000.--, poiché nello stesso le parti non hanno previsto che l’omesso puntuale pagamento di una o più rate avrebbe comportato l’immediata esigibilità dell’intero credito.</w:t>
      </w:r>
    </w:p>
    <w:p>
      <w:r>
        <w:rPr>
          <w:b/>
        </w:rPr>
        <w:t>E. 2.1</w:t>
      </w:r>
    </w:p>
    <w:p>
      <w:r>
        <w:t>P 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 Walder/Kull/Kottmann, Bundesgesetz über Schuldbetrei-bung und Konkurs, vol. I, 4a ed., Zurigo 1997, n. 28 ad art. 82; Staehelin , op. cit., n. 82 ad art. 82; Stücheli, Die Rechtsöffnung, tesi Zurigo 2000 , p. 350, con rif.).</w:t>
      </w:r>
    </w:p>
    <w:p>
      <w:r>
        <w:rPr>
          <w:b/>
        </w:rPr>
        <w:t>E. 2.2</w:t>
      </w:r>
    </w:p>
    <w:p>
      <w:r>
        <w:t>Nell’esecuzione basata su contratti bilaterali sinallagmatici in cui le parti sono tenute a prestazioni simultanee o in cui spetta al creditore l’obbligo della prestazione anticipata, la scrivente Camera segue in materia di rigetto dell’opposizione la prassi di Basilea Campagna, condivisa dal Tribunale federale in STF 13 ottobre 1986, in: Rep. 1987, p. 150 s. cons. 3, secondo la quale l'eccezione di mancato adempimento della controprestazione rispettivamente di non corretto adempimento deve essere resa verosimile e non solo asserita ( Rep . 1986 p. 112-113; Cometta , op. cit., p. 348; Stahelin , op. cit., n. 105 ad art. 82 LEF). 2.3.   AP 1 ha sollevato l’eccezione di non corretto adempimento, sostenendo che l’opera presenterebbe dei difetti, che vi sarebbero dei lavori ancora da terminare e che sarebbero stati in parte utilizzati materiali di minor valore rispetto a quelli previsti. L’eccezione è proponibile e, se fondata, è idonea ad infirmare la pronuncia del rigetto dell’opposizione.</w:t>
      </w:r>
    </w:p>
    <w:p>
      <w:r>
        <w:rPr>
          <w:b/>
        </w:rPr>
        <w:t>E. 2.4</w:t>
      </w:r>
    </w:p>
    <w:p>
      <w:r>
        <w:t>Dall’esame della perizia 21 dicembre 2004  dell’arch. __________ (doc. 3), allestita su incarico dei committenti, emerge l’esistenza di alcune differenze tra quanto previsto nel “descrittivo generale delle opere” e quanto eseguito dalla creditrice. La perizia documenta che le tapparelle, le porte interne, le finestre esterne e le tegole non rispettano pienamente quanto previsto. Attesta inoltre la mancata esecuzione di un’opera da lattoniere e di un paio di provvedimenti da elettricista, nonché difetti d’esecuzione all’armadio d’entrata della corrente elettrica e alle opere da gessatore (imperfezioni della zona atrio d’entrata). Orbene, su questa base si potrebbe fors’anche concludere che l’escussa abbia reso verosimile l’eccezione di non corretto adempimento del contratto. Sennonché, c ome emerge dal verbale (doc. B), la casa è stata consegnata ai committenti già il 16 dicembre 2003 e in tale occasione le parti hanno accertato l’esistenza di alcuni difetti. Ciò malgrado, dopo oltre quattro mesi dalla consegna, i committenti hanno sottoscritto l’accordo di data 5 maggio 2004 (doc. D), nel quale, con una dichiarazione di volontà chiara, esplicita, non equivoca e non discutibile si sono riconosciuti debitori nei confronti dellaAO 1 di fr. 10'000.--. Sottoscrivendo senza riserve il riconoscimento di debito dopo l’accertamento dei difetti, i committenti hanno così riconosciuto che i difetti accertati al momento della consegna della casa erano stati eliminati o non erano ritenuti tali da essere contrapposti al loro debito. Inoltre, dallo scritto 11 AO 1 (doc. G) emerge che in quella data __________ e AP 1 hanno notificato alla procedente l’esistenza di ulteriori difetti dell’opera. Anche questi difetti, comunque, risultano essere stati eliminati, ritenuto che nessuno degli stessi figura più nella perizia 21 dicembre 2004 dell’arch. __________ (doc. 3). Né dev’essere dimenticato che questa perizia è stata allestita ad un anno dalla consegna della casa e dai documenti agli atti, risulta essere stata presentata alla procedente solo all’udienza di contraddittorio del 13 giugno 2005. Ritenuto che dalle argomentazioni dei committenti non emergono riscontri oggettivi atti a rendere verosimile l’eventuale impossibilità ad eseguire un’ordinaria verifica della casa all’atto della consegna, avvenuta –come detto- il 16 dicembre 2003, così come non risultano riscontri oggettivi atti a rendere verosimile l’esistenza di difetti irriconoscibili con l’ordinaria verifica, la notifica dei difetti elencati nella perizia (doc. 3), avvenuta solo il 1. febbraio 2005 (doc. L), è manifestamente tardiva, così che l’eccezione sollevata dall’escussa, a conferma della sentenza impugnata, non può essere ammessa.</w:t>
      </w:r>
    </w:p>
    <w:p>
      <w:r>
        <w:rPr>
          <w:b/>
        </w:rPr>
        <w:t>E. 3</w:t>
      </w:r>
    </w:p>
    <w:p>
      <w:r>
        <w:t>Intimazione: - avv. RA 2, __________; - avv. RA 1, __________. Comunicazione alla Pretura di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