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14.2005.63 vom 4. Oktober 2005</w:t>
      </w:r>
    </w:p>
    <w:p>
      <w:r>
        <w:t>TI Tribunale d'appello, 2005-10-04, IT</w:t>
      </w:r>
    </w:p>
    <w:p>
      <w:r>
        <w:rPr>
          <w:b/>
        </w:rPr>
        <w:t xml:space="preserve">Quelle: </w:t>
      </w:r>
      <w:r>
        <w:t>https://mcp.opencaselaw.ch/entscheid/ti_gerichte_14.2005.63</w:t>
      </w:r>
    </w:p>
    <w:p>
      <w:r>
        <w:t>FR: TI_GERICHTE 14.2005.63 du 4 octobre 2005</w:t>
      </w:r>
    </w:p>
    <w:p>
      <w:r>
        <w:t>IT: TI_GERICHTE 14.2005.63 del 4 ottobre 2005</w:t>
      </w:r>
    </w:p>
    <w:p>
      <w:pPr>
        <w:pStyle w:val="Heading2"/>
      </w:pPr>
      <w:r>
        <w:t>Regeste</w:t>
      </w:r>
    </w:p>
    <w:p>
      <w:r>
        <w:t>Esecuzione di sentenze estere in virtù di un trattato internazionale. Nova. Convenzione di Lugano. Sospensione del procedimento. Ordine pubblico.</w:t>
      </w:r>
    </w:p>
    <w:p>
      <w:pPr>
        <w:pStyle w:val="Heading2"/>
      </w:pPr>
      <w:r>
        <w:t>Erwägungen</w:t>
      </w:r>
    </w:p>
    <w:p>
      <w:r>
        <w:rPr>
          <w:b/>
        </w:rPr>
        <w:t>E. 4</w:t>
      </w:r>
    </w:p>
    <w:p>
      <w:r>
        <w:t>maggio 1995 in re BS c. AA con rif. in: BlSchK 1997 p. 62 ss., Donzallaz , op. cit., n. 1923 ss. e dottrina citata ai n. 2068 e 2070).</w:t>
      </w:r>
    </w:p>
    <w:p>
      <w:r>
        <w:rPr>
          <w:b/>
        </w:rPr>
        <w:t>E. 5</w:t>
      </w:r>
    </w:p>
    <w:p>
      <w:r>
        <w:t>Qualora l’istanza di rigetto sia fondata su una decisione estera, il giudice deve quindi limitarsi ad esaminare pregiudizialmente la questione dell’exequatur. Le condizioni per dichiarare il giudizio estero esecutivo in Svizzera sono fissate dalla convenzione internazionale sull’esecuzione applicabile, per difetto dagli art. 25 ss. LDIP (cfr. Staehelin , op. cit., n. 59 e 98 ad art. 80; Gilliéron , op. cit., n. 31-32 ad art. 80). Giusta l’art. 34 cpv. 2 CL, l’istanza di exequatur può essere rigettata solo per uno dei motivi contemplati dagli art. 27 e 28 CL. Essendo l’esame dell’esecutività nell’ambito della procedura di rigetto una questione pregiudiziale, il giudice del rigetto dell’opposizione deve esaminarla d’ufficio senza la necessità di un espresso petitum in tal senso da parte del creditore istante.</w:t>
      </w:r>
    </w:p>
    <w:p>
      <w:r>
        <w:rPr>
          <w:b/>
        </w:rPr>
        <w:t>E. 6</w:t>
      </w:r>
    </w:p>
    <w:p>
      <w:r>
        <w:t>L’appellante eccepisce che le sentenze 22 ottobre 2002 (doc. D) e 19 maggio 2004 (doc. E) non sarebbero definitive perché contro la sentenza della Corte di appello essa ha interposto ricorso in cassazione il 21 giugno 2004. Affinché una sentenza estera possa essere dichiarata esecutiva non è necessario che la stessa sia cresciuta in giudicato ma è sufficiente che sia esecutiva nello Stato contraente nel quale la stessa sentenza è stata prolata ( Staehelin , op. cit., n. 67 ad art. 80). In concreto sull’ultima pagina della sentenza 19 maggio 2004 della Cour d’appel de Paris (doc. E) vi è una chiara attestazione di esecutività nel senso qui espresso. Per questo motivo quindi nulla osta alla dichiarazione, incidentale, di esecutività ed, in principio, al successivo rigetto definitivo dell'opposizione.</w:t>
      </w:r>
    </w:p>
    <w:p>
      <w:r>
        <w:rPr>
          <w:b/>
        </w:rPr>
        <w:t>E. 7.1</w:t>
      </w:r>
    </w:p>
    <w:p>
      <w:r>
        <w:t>Giusta l’art. 34 cpv. 2 CL l’istanza di exequatur può essere rigettata solo per uno dei motivi contemplati dagli art. 27 e 28 CL.</w:t>
      </w:r>
    </w:p>
    <w:p>
      <w:r>
        <w:rPr>
          <w:b/>
        </w:rPr>
        <w:t>E. 7.2</w:t>
      </w:r>
    </w:p>
    <w:p>
      <w:r>
        <w:t>L’appellante ha evidenziando che con ordinanza del 24 dicembre 2004 le Juge de l’Exécution près le Tribunal de Grande Istance de Paris l’ha autorizzata a iscrivere un privilegio di pegno sul marchio AO 1 quale garanzia di un credito stimato provvisoriamente in Euro 7'111'450. Inoltre a seguito dell’istanza del 22 marzo 2005, lo stesso giudice l’ha autorizzata a praticare un pignoramento conservativo sulle somme dovute da __________ e da __________ a AO 2 sino a concorrenza della somma di Euro 8'500'00.--. A fronte di un debito attestato di fr. 1'221'040.--, AP 1 si è vista riconoscere, ancorché provvisoriamente, una pretesa verso AO 1 e verso AO 2 di Euro 8'500'000.--. Considerate le precarie condizioni finanziare di AO 1, un pagamento da parte di AP 1 avrebbe poche probabilità di essere rimborsato. Per questo motivo accogliere l’istanza di rigetto dell’opposizione costituirebbe una evidente violazione dell’ordine pubblico svizzero (art. 27 cpv. 1 CL). Inoltre le diverse decisioni rese in Francia, che da un lato condannano AP 1 e dall’altro obbligano e impegnano AO 1 e AO 2, sono contraddittorie: ciò contrasterebbe con la disposizione di cui all’art. 27 cpv. 3 CL, applicata per analogia.</w:t>
      </w:r>
    </w:p>
    <w:p>
      <w:r>
        <w:rPr>
          <w:b/>
        </w:rPr>
        <w:t>E. 7.3</w:t>
      </w:r>
    </w:p>
    <w:p>
      <w:r>
        <w:t>La riserva dell'ordine pubblico è una clausola d'eccezione, la cui applicazione in materia di riconoscimento ed esecuzione di decisioni straniere (cfr. l’avverbio “manifestamente” all’art. 27 cpv. 1 LDIP) è più restrittiva che nel campo dell'applicazione diretta delle norme di diritto (cosiddetto “effetto attenuato dell’ordine pubblico” in materia di riconoscimento e di exequatur di decisioni estere, cfr. Othenin-Girard , La réserve d’ordre public en droit international privé suisse, tesi Neuchâtel 1999, n. 299, 317 e 471). Il riconoscimento della decisione straniera è la regola. Dalla stessa non bisogna scostarsi senza validi motivi. L'ordine pubblico svizzero è violato dal riconoscimento di una decisione straniera quando la stessa offende manifestamente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(cfr. DTF 126 III 107 s., cons. 3b, ed i rinvii; Lembo/Jeanneret , La reconnaissance d’une faillite étrangère (art. 166 et ss. LDIP). Etat des lieux et considérations pratiques, SJ 2002 II p. 25</w:t>
      </w:r>
    </w:p>
    <w:p>
      <w:r>
        <w:rPr>
          <w:b/>
        </w:rPr>
        <w:t>E. 7.4</w:t>
      </w:r>
    </w:p>
    <w:p>
      <w:r>
        <w:t>L’esecuzione della sentenza francese, in concreto, ossia nel suo risultato, non viola in modo manifesto l’ordine pubblico svizzero e quindi non contravviene all’art. 27 n. 1 CL (sull’interpretazione di questa norma, cfr. Donzallaz , op. cit., in particolare n. 2809-2815). Tale esecuzione neppure contravviene all’art. 27 n. 3 CL. Infatti la sentenza 22 ottobre 2002 del Tribunal de commerce de Paris confermata da quella del 19 maggio 2004 della Cour d’appel de Paris, è stata emanata in una procedura ordinaria di merito e condanna in modo definitivo, riservato l’esisto del ricorso per cassazione, AP 1 a versare ai procedenti Euro 800'000 mentre le ordinanze 24 dicembre 2004 (doc. D d’appello) e 22 marzo 2005 (doc. F d’appello) del Tribunal de Grande Instance de Paris costituiscono semplici misure cautelari emanate a tutela di asseriti diritti dell’appellante. Trattandosi di decisioni di diversa natura, esse non possono in alcun modo ritenersi in contrasto. Neppure vi sarebbe violazione manifesta dell’ordine pubblico svizzero, nell’ipotesi in cui AO 1 e AO 2 si trovassero effettivamente in condizioni finanziarie precarie e pertanto se il ricorso per cassazione dell’escussa venisse accolto, essa avrebbe poche possibilità di poter recuperare l’importo corrisposto ai procedenti sulla base del PE n. __________. Infatti anche in diritto svizzero il creditore in possesso di una sentenza esecutiva, contro la quale è stato interposto un ricorso che non ne sospende l’esecuzione è legittimato a chiedere il rigetto definitivo dell’opposizione indipendentemente dalla propria forza finanziaria e quindi dalle possibilità per l’escusso di poter recuperare quanto versato se il ricorso venisse accolto. 8. L ’escussa argomenta che le sentenze di cui ai doc. D e E in Francia “sottostanno al principio della sospensione provvisoria delle esecuzioni”. Infatti la società di diritto francese __________ beneficerebbe dal 23 luglio 2004 di un’ordinanza di sospensione provvisoria delle esecuzioni per garantire la continuazione dell’impresa (doc. 2 e 3). La protezione di cui gode __________, società che sfrutta le licenze __________ per i marchi appartenenti a AP 1, dovrebbe avvantaggiare anche lei. Come correttamente evidenziato dal primo giudice anche questa argomentazione non può essere accolta. Infatti quanto ottenuto da __________, ossia la sospensione provvisoria delle esecuzioni contro di lei riguarda unicamente questa società e non anche la società appellante.</w:t>
      </w:r>
    </w:p>
    <w:p>
      <w:r>
        <w:rPr>
          <w:b/>
        </w:rPr>
        <w:t>E. 9</w:t>
      </w:r>
    </w:p>
    <w:p>
      <w:r>
        <w:t>L’appello 15 giugno 2005 di AP 1 va quindi respinto. Tassa di giustizia e indennità seguono la soccombenza dell’appellante (art. 48, 49, 61 cpv. 1 e 62 cpv. 1 OTLEF). Per i quali motivi, richiamati gli art. 80 cpv. 1, 80 cpv. 2 n. 1 LEF; 22 cpv. 4, 25 LALEF; 321 cpv. 1 lett. b CPC; 25 ss., 27 cpv. 1, 28, 31 LDIP; 25, 27, 28, 30, 34 cpv. 2, 50, 54 cpv. 1 CL; 68 ss. e 84 ss. OG; 511 ss., 512 CPC ; 48, 49, 61 cpv. 1 e 62 cpv. 1 OTLEF; pronuncia: 1. L’appello 15 giugno 2005 di AP 1, __________, è respinto. 2. La tassa di giustizia del presente giudizio di fr. 2’250.--, da anticipare dall'appellante, è a carico di AP 1, la quale rifonderà a AO 1 e a AO 2 fr. 3’000.-- di indennità. 3. Intimazione: - avv. PA 1, __________; - avv. PA 2, __________. Comunicazione alla Pretura di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