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14.2005.32 vom 12. August 2005</w:t>
      </w:r>
    </w:p>
    <w:p>
      <w:r>
        <w:t>TI Tribunale d'appello, 2005-08-12, IT</w:t>
      </w:r>
    </w:p>
    <w:p>
      <w:r>
        <w:rPr>
          <w:b/>
        </w:rPr>
        <w:t xml:space="preserve">Quelle: </w:t>
      </w:r>
      <w:r>
        <w:t>https://mcp.opencaselaw.ch/entscheid/ti_gerichte_14.2005.32</w:t>
      </w:r>
    </w:p>
    <w:p>
      <w:r>
        <w:t>FR: TI_GERICHTE 14.2005.32 du 12 août 2005</w:t>
      </w:r>
    </w:p>
    <w:p>
      <w:r>
        <w:t>IT: TI_GERICHTE 14.2005.32 del 12 agosto 2005</w:t>
      </w:r>
    </w:p>
    <w:p>
      <w:pPr>
        <w:pStyle w:val="Heading2"/>
      </w:pPr>
      <w:r>
        <w:t>Regeste</w:t>
      </w:r>
    </w:p>
    <w:p>
      <w:r>
        <w:t>diritto alla compensazione in procedura di rigetto definitivo dell'opposizione. Abuso di diritto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aprile 2005 di __________, __________, è parzialmente accolto. I.1. Di conseguenza i dispositivi n. 1. e n. 2. della sentenza 24 marzo 2005 della Pretura del Distretto di __________ vengono riformati come segue: “ 1. L’istanza 3 febbraio 2005 di AP 1, __________, è parzialmente accolta . 1.1. L’opposizione interposta da __________, __________, al precetto esecutivo n. __________ del 28/30 gennaio 2005 dell’UEF di __________ è rigettata in via provvisoria per fr. 125'414.20 oltre interessi al 3% dall’1.1.2002 su fr. 89'770.–. 1.2. La tassa di giustizia per complessivi fr. 1’000.–, da anticipare come di rito, è posta a carico di AO 1, la quale rifonderà a AP 1 fr. 600.– di indennità. II. La tassa di giustizia del presente giudizio di fr. 1000.–, già anticipata dall'appellante, è a carico di __________, la quale rifonderà a AP 1 fr. 800.– di indennità. III. Intimazione: –    avv. __________, __________; –    avv. RA 1, __________. Comunicazione alla Pretura di __________.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