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14.2004.86 vom 18. Februar 2005</w:t>
      </w:r>
    </w:p>
    <w:p>
      <w:r>
        <w:t>TI Tribunale d'appello, 2005-02-18, IT</w:t>
      </w:r>
    </w:p>
    <w:p>
      <w:r>
        <w:rPr>
          <w:b/>
        </w:rPr>
        <w:t xml:space="preserve">Quelle: </w:t>
      </w:r>
      <w:r>
        <w:t>https://mcp.opencaselaw.ch/entscheid/ti_gerichte_14.2004.86</w:t>
      </w:r>
    </w:p>
    <w:p>
      <w:r>
        <w:t>FR: TI_GERICHTE 14.2004.86 du 18 février 2005</w:t>
      </w:r>
    </w:p>
    <w:p>
      <w:r>
        <w:t>IT: TI_GERICHTE 14.2004.86 del 18 febbraio 2005</w:t>
      </w:r>
    </w:p>
    <w:p>
      <w:pPr>
        <w:pStyle w:val="Heading2"/>
      </w:pPr>
      <w:r>
        <w:t>Regeste</w:t>
      </w:r>
    </w:p>
    <w:p>
      <w:r>
        <w:t>stralcio dai ruoli per intervenuto ritiro dell'appello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18.02.2005 14.2004.86</w:t>
      </w:r>
    </w:p>
    <w:p>
      <w:r>
        <w:t>stralcio dai ruoli per intervenuto ritiro dell'appello</w:t>
      </w:r>
    </w:p>
    <w:p>
      <w:r>
        <w:t>Incarto n. 14.2004.86 Lugano 18 febbraio 2005 EC/sc/fb In nome della Repubblica e Cantone del Ticino La Camera di esecuzione e fallimenti del Tribunale d'appello composta dei giudici: Chiesa, presidente, Pellegrini e Walser segretario: Cassina, vicecancelliere statuendo sulla causa a procedura sommaria appellabile promossa con istanza 11/12 maggio 2004 da AP 1 AP 2 entrambi rappr. dall’ RA 1, contro AO 1 rappr. da tendente ad ottenere il rigetto provvisorio dell’opposizione interposta al PE n. __________ del 5/6 maggio 2004 dell’UEF di __________; sulla quale istanza il Segretario assessore della Pretura di __________ con sentenza 7 luglio 2004 ha così deciso: " 1. L'istanza è parzialmente accolta. §     Di conseguenza  è rigettata in via provvisoria l’opposizione interposta dalla AP 1 contro il precetto esecutivo n. __________ dell’UEF di __________ per l’importo di fr. 92'130.50 oltre interessi al 5% dal 1. ottobre 2003 su fr. 36'852.30 e dal 15 marzo 2004 su fr. 55'278.30, nonché fr. 200.-- di spese esecutive”. 2 Le spese e la tassa di giustizio per complessivi fr. 800.--, da anticipare dagli istanti in solido, rimangono a loro carico per 6/7 e sono poste a carico della AP 1 per 1/7. __________ e __________ AO 2 rifonderanno alla convenuta l’importo di fr. 2'350.-- a titolo di ripetibili ridotte”. Sentenza dedotta in appello dagli istanti con atto 22 luglio 2004, al quale si è opposta la convenuta con osservazioni 17 agosto 2004; preso atto che tra le parti è intervenuta una transazione extragiudiziale e che con scritto 7 febbraio 2005 gli appellanti chiedono lo stralcio dai ruoli della causa; considerato che le parti hanno concordemente richiesto la compensazione delle indennità e il carico delle spese e della tassa di giustizia a chi le ha anticipate; richiamati gli art. 151 e 352 CPC, decreta: 1. L’appello 22 luglio 2004 di AP 1 e di AP 2, __________, è stralciato dai ruoli per intervenuta transazione. 2. Le spese e la tassa di giustizia (ridotta) per complessivi fr. 100.-, anticipati dagli appellanti, restano a loro carico. Le indennità sono compensate. 3. Intimazione a: - avv. __________, __________; - avv. dr. __________, __________. Comunicazione alla Pretura di __________. Per la Camera di esecuzione e fallimenti del Tribunale d’appello Il presidente    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