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14.2004.55 vom 5. Oktober 2004</w:t>
      </w:r>
    </w:p>
    <w:p>
      <w:r>
        <w:t>TI Tribunale d'appello, 2004-10-05, IT</w:t>
      </w:r>
    </w:p>
    <w:p>
      <w:r>
        <w:rPr>
          <w:b/>
        </w:rPr>
        <w:t xml:space="preserve">Quelle: </w:t>
      </w:r>
      <w:r>
        <w:t>https://mcp.opencaselaw.ch/entscheid/ti_gerichte_14.2004.55</w:t>
      </w:r>
    </w:p>
    <w:p>
      <w:r>
        <w:t>FR: TI_GERICHTE 14.2004.55 du 5 octobre 2004</w:t>
      </w:r>
    </w:p>
    <w:p>
      <w:r>
        <w:t>IT: TI_GERICHTE 14.2004.55 del 5 ottobre 2004</w:t>
      </w:r>
    </w:p>
    <w:p>
      <w:pPr>
        <w:pStyle w:val="Heading2"/>
      </w:pPr>
      <w:r>
        <w:t>Regeste</w:t>
      </w:r>
    </w:p>
    <w:p>
      <w:r>
        <w:t>contratto di appalto costituisce valido titolo di rigetto dell'opposizione. Eccezioni ex art. 82 cpv. 2 LEF</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escluso addurre nuovi fatti, prove ed eccezioni (cfr. art. 321 cpv. 1 lett. b CPC; Cometta , Il rigetto provvisorio dell'opposizione nella prassi giudiziaria ticinese in Rep 1989, p. 333). I documenti prodotti da __________ AP1 con l’appello devono quindi essere estromessi dall'incarto e non possono venire considerati al fine del giudizio.</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op. cit., p. 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d) Un contratto d'appalto firmato costituisce valido titolo di rigetto provvisorio dell'opposizione per la mercede ( Daniel Staehelin , Basler Kommentar zum SchKG, Basilea/Ginevra/ Monaco 1998, vol. I, n. 128 ad art. 82). e) La procedente fonda la sua pretesa sullo scritto denominato “offerta arredamento cucina” di data 27 aprile 2003, sottoscritto da __________ AP1 il 1. giugno 2003, che altro non è che un contratto d'appalto tra __________ AP1 AO1 in qualità di appaltatrice (art. 363 CO), mediante il quale la procedente si è impegnata a fornire una cucina completa di mobili, piano di lavoro, apparecchi e accessori e l’escussa si è impegnata a corrispondere l’importo di fr. 24'651.90 (doc. A). L’importo di fr. 12’325.--, dedotto in esecuzione, rappresenta il 50% del prezzo complessivo, che in base a quanto stabilito nelle condizioni di pagamento doveva essere corrisposto alla firma della conferma d’ordine. Ritenuto che l’escussa ha sottoscritto il doc. A, tale documento costituisce, in linea di principio, valido titolo di rigetto provvisorio dell’opposizione ex art. 82 LEF per l’importo dedotto in esecuzione oltre interessi.</w:t>
      </w:r>
    </w:p>
    <w:p>
      <w:r>
        <w:rPr>
          <w:b/>
        </w:rPr>
        <w:t>E. 3</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 Bundesgesetz über Schuldbetrei-bung und Konkurs, vol. I, 4a ed., Zurigo 1997, n. 28 ad art. 82; Daniel Staehelin , op. cit., n. 87 s. ad art. 82 LEF; Pierre-Robert Gilliéron , Commentaire de la LP, vol. I, Losanna 1999, n. 82 ad art. 82; P eter Stücheli , Die Rechtsöffnung, tesi Zurigo 2000, p. 350, con rif). b)   L’escussa ha in sostanza evidenziato che la validità della conferma d’ordine di cui al doc. A e quindi l’obbligo di versamento dell’anticipo del 50% del prezzo globale, era subordinato al rilascio della licenza edilizia relativa alla ristrutturazione e all’ampliamento dell’immobile di __________ , che ella voleva acquistare. Dalla documentazione agli atti la verosimiglianza di tale asserzione non emerge in alcun modo. Il doc. A costituisce infatti un riconoscimento di debito incondizionato dell’escussa nei confronti della procedente: per questo motivo l’eccezione deve essere respinta e la sentenza della prima giudice integralmente confermata.</w:t>
      </w:r>
    </w:p>
    <w:p>
      <w:r>
        <w:rPr>
          <w:b/>
        </w:rPr>
        <w:t>E. 4</w:t>
      </w:r>
    </w:p>
    <w:p>
      <w:r>
        <w:t>La giudice di prime cure, dopo aver correttamente rilevato che il doc. A costituisce riconoscimento di debito ex art. 82 LEF, nel dispositivo della sentenza impugnata, per un’evidente svista, ha rigettato in via definitiva l’opposizione interposta dalla parte convenuta al precetto esecutivo. La sentenza va dunque riformata, per quanto riguarda il dispositivo n. 1, nel senso che l’opposizione deve essere rigettata in via provvisoria. Per i quali motivi, richiamati gli art. 82 cpv. 1 e 2 LEF; 20 cpv. 2 LALEF; 48, 49, 61 cpv. 1 e 62 cpv. 1 OTLEF) pronuncia: I. L'appello 3/5 maggio 2004 di ____________________, __________, è respinto. II. Il dispositivo 1 della sentenza 22 aprile 2004 della Segretaria assessore della Pretura di __________ è riformato d’ufficio nel seguente modo: " 1. L’istanza è accolta: l’opposizione interposta dalla parte convenuta al precetto esecutivo n. __________ dell’ufficio __________ è respinta in via provvisoria. ” III. La tassa di giustizia del presente giudizio di fr. 255.--, già anticipata dall'appellante, resta a carico di __________ AP1, la quale rifonderà a AO1 fr. 200.-- a titolo di indennità. IV. Intimazione a:      – __________ AP1, __________; – studio legale RA1__________; Comunicazione alla Pretura di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