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14.2003.95 vom 20. Februar 2004</w:t>
      </w:r>
    </w:p>
    <w:p>
      <w:r>
        <w:t>TI Tribunale d'appello, 2004-02-20, IT</w:t>
      </w:r>
    </w:p>
    <w:p>
      <w:r>
        <w:rPr>
          <w:b/>
        </w:rPr>
        <w:t xml:space="preserve">Quelle: </w:t>
      </w:r>
      <w:r>
        <w:t>https://mcp.opencaselaw.ch/entscheid/ti_gerichte_14.2003.95</w:t>
      </w:r>
    </w:p>
    <w:p>
      <w:r>
        <w:t>FR: TI_GERICHTE 14.2003.95 du 20 février 2004</w:t>
      </w:r>
    </w:p>
    <w:p>
      <w:r>
        <w:t>IT: TI_GERICHTE 14.2003.95 del 20 febbraio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25 novembre 2003 di __________, è parzialmente accolto.</w:t>
      </w:r>
    </w:p>
    <w:p>
      <w:r>
        <w:rPr>
          <w:b/>
        </w:rPr>
        <w:t>E. 1.1</w:t>
      </w:r>
    </w:p>
    <w:p>
      <w:r>
        <w:t>Di conseguenza, il dispositivo n. 1 della sentenza 14 novembre 2003 (inc. EF.2003.1224) della Segretaria assessore della Pretura di Lugano, Sezione 5, è riformato come segue: "1.   L'istanza è accolta e di conseguenza l'opposizione interposta al PE n. __________ è rigettata in via definitiva limitatamente all'importo di fr. 43'985,80, oltre interessi al 3% su fr. 43'286,50 dal 14 giugno 2003."</w:t>
      </w:r>
    </w:p>
    <w:p>
      <w:r>
        <w:rPr>
          <w:b/>
        </w:rPr>
        <w:t>E. 2</w:t>
      </w:r>
    </w:p>
    <w:p>
      <w:r>
        <w:t>La tassa di giustizia di fr. 330.--, già anticipata dall’appellante, rimane a suo carico. Non si assegnano indennità.</w:t>
      </w:r>
    </w:p>
    <w:p>
      <w:r>
        <w:rPr>
          <w:b/>
        </w:rPr>
        <w:t>E. 3</w:t>
      </w:r>
    </w:p>
    <w:p>
      <w:r>
        <w:t>Intimazione a:     - avv. __________; - __________; Comunicazione alla Pretura di Lugano, Sezione 5. Per la Camera di esecuzione e fallimenti del Tribunale d’appello Il vicepresidente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