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14.2003.46 vom 14. Juli 2003</w:t>
      </w:r>
    </w:p>
    <w:p>
      <w:r>
        <w:t>TI Tribunale d'appello, 2003-07-14, IT</w:t>
      </w:r>
    </w:p>
    <w:p>
      <w:r>
        <w:rPr>
          <w:b/>
        </w:rPr>
        <w:t xml:space="preserve">Quelle: </w:t>
      </w:r>
      <w:r>
        <w:t>https://mcp.opencaselaw.ch/entscheid/ti_gerichte_14.2003.46</w:t>
      </w:r>
    </w:p>
    <w:p>
      <w:r>
        <w:t>FR: TI_GERICHTE 14.2003.46 du 14 juillet 2003</w:t>
      </w:r>
    </w:p>
    <w:p>
      <w:r>
        <w:t>IT: TI_GERICHTE 14.2003.46 del 14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14.07.2003 14.2003.46</w:t>
      </w:r>
    </w:p>
    <w:p>
      <w:r>
        <w:t>Sentenza o decisione senza scheda</w:t>
      </w:r>
    </w:p>
    <w:p>
      <w:r>
        <w:t>Incarto n. 14.2003.46 Lugano 14 luglio 2003 CJ/fc/rgc In nome della Repubblica e Cantone del Ticino La Camera di esecuzione e fallimenti del Tribunale d'appello composta dei giudici: Cometta, presidente, Giani e Chiesa segretario: Jaques, vicecancelliere statuendo nella causa a procedura sommaria di cui all’inc. __________ della Pretura della giurisdizione di Mendrisio-Sud, a dipendenza dell'istanza di sequestro del 30 ottobre 2002 di __________ patrocinata dall’avv. __________ contro __________ patrocinato dall’avv. __________ e ora sull’appello 7 maggio 2003 presentato da __________ contro la decisione 7 aprile 2003 del Segretario assessore della Pretura della giurisdizione di Mendrisio-Sud; preso atto dello scritto 8 luglio 2003 dell’appellante, con il quale dichiara di ritirare il ricorso, avendo le parti trovato un accordo, e chiede che le spese siano messe a carico di chi le ha anticipate, compensate le ripetibili; considerato come la procedura in esame sia così divenuta priva d'oggetto; atteso che in caso di ritiro, la tassa di giustizia è proporzionata agli atti compiuti, tenendo conto del valore litigioso (art. 21 LTG); pronuncia: 1. L'appello 7 maggio 2003 di __________, è stralciato dai ruoli per intervenuto ritiro. 2. La tassa di giustizia di fr. 500.-- è posta a carico dell'appellante, al quale viene retrocessa la parte dell’anticipo versata in eccedenza, pari a fr. 1'000.--. Le indennità sono compensate. 3. Intimazione a: - __________ Comunicazione alla Pretura della giurisdizione di Mendrisio-Sud. Per la Camera di esecuzione e fallimenti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