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14.2002.84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https://mcp.opencaselaw.ch/entscheid/ti_gerichte_14.2002.84</w:t>
      </w:r>
    </w:p>
    <w:p>
      <w:r>
        <w:t>FR: TI_GERICHTE 14.2002.84 du 30 octobre 2002</w:t>
      </w:r>
    </w:p>
    <w:p>
      <w:r>
        <w:t>IT: TI_GERICHTE 14.2002.84 del 30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30.10.2002 14.2002.84</w:t>
      </w:r>
    </w:p>
    <w:p>
      <w:r>
        <w:t>Sentenza o decisione senza scheda</w:t>
      </w:r>
    </w:p>
    <w:p>
      <w:r>
        <w:t>Incarto n. 14.2002.00084 Lugano 30 ottobre 2002 B/fc/dp In nome della Repubblica e Cantone del Ticino La Camera di esecuzione e fallimenti del Tribunale d'appello Composta dei giudici: Cometta, presidente, Pellegrini e Rusca Segretaria: Baur Martinelli, vicecancelliera Visto il ricorso 18 settembre 2002 presentato da __________ contro la sentenza 5 agosto 2002 del Pretore della Giurisdizione di Locarno-Campagna nella causa ordinaria appellabile promossa con petizione 5 dicembre 2001 da __________ patr. dallo studio legale __________ ritenuto che sono appellabili le sentenze a procedura sommaria in tema di esecuzione e fallimenti riguardanti le procedure il cui valore di causa è superiore ai fr. 8'000.-- (art. 22 LALEF), mentre contro quelle ordinarie di competenza dei pretori non dichiarate inappellabili è competente la seconda Camera civile del Tribunale di appello (art. 22 lett. a n. 2 LOG ); visto che per un disguido di cancelleria il ricorso in esame è stato erroneamente considerato quale appello di competenza della Camera di esecuzione e fallimenti del Tribunale di Appello mentre è da considerare quale appello di competenza della seconda Camera civile del Tribunale di Appello; rilevato che di conseguenza l'ordinanza 16 ottobre 2002 di questa Camera relativa alla notifica dell'atto di appello per eventuali osservazioni va annullata; decreta: 1. L'incarto è trasmesso, per competenza, alla seconda Camera civile del Tribunale di appello. 2. Non si prelevano tasse o spese. 3. Intimazione a:  - __________ Comunicazione, con trasmissione dell'incarto, alla seconda Camera civile del Tribunale di appello. Per la Camera di esecuzione e fallimenti del Tribunale d’appello Il presidente                                                                           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