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14.2002.80 vom 18. Mai 2002</w:t>
      </w:r>
    </w:p>
    <w:p>
      <w:r>
        <w:t>TI Tribunale d'appello, 2002-05-18, IT</w:t>
      </w:r>
    </w:p>
    <w:p>
      <w:r>
        <w:rPr>
          <w:b/>
        </w:rPr>
        <w:t xml:space="preserve">Quelle: </w:t>
      </w:r>
      <w:r>
        <w:t>https://mcp.opencaselaw.ch/entscheid/ti_gerichte_14.2002.80</w:t>
      </w:r>
    </w:p>
    <w:p>
      <w:r>
        <w:t>FR: TI_GERICHTE 14.2002.80 du 18 mai 2002</w:t>
      </w:r>
    </w:p>
    <w:p>
      <w:r>
        <w:t>IT: TI_GERICHTE 14.2002.80 del 18 maggio 2002</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 c) 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 d) Un contratto d'appalto firmato costituisce valido titolo di rigetto provvisorio dell'opposizione per la mercede ( Daniel Staehelin , Basler Kommentar zum SchKG, Basilea/Ginevra/ Monaco 1998, vol. I, n. 128 ad art. 82). e) Il contratto d'appalto doc. H per le opere da capomastro e copritetto riferite alla ristrutturazione di un rustico in Vallemaggia, sottoscritto da __________ quale imprenditrice e da __________ e __________ in qualità di committenti, mediante il quale gli escussi si sono impegnati a versare alla procedente una mercede forfetaria di fr. 124'500.--, costituisce in via di principio valido riconoscimento di debito ex art. 82 LEF per l’importo leggermente inferiore di quello riconosciuto dal Pretore di fr. fr. 7'735.25, corrispondenti alla mercede stipulata con il contratto di appalto di fr. 124'500.-- dedotto l’acconto di fr. 100'000.-- e l’importo di fr. 16'764.65 per le opere non fatturate, non eseguite o eseguite solo parzialmente e riconosciute dalla stessa parte istante nella fattura di cui al doc. I.</w:t>
      </w:r>
    </w:p>
    <w:p>
      <w:r>
        <w:rPr>
          <w:b/>
        </w:rPr>
        <w:t>E. 1.1</w:t>
      </w:r>
    </w:p>
    <w:p>
      <w:r>
        <w:t>Di conseguenza la sentenza 26 agosto 2002 del Pretore di Vallemaggia è così riformata: " 1. L'istanza di rigetto provvisorio dell’opposizione del 18 maggio 2002 promossa da __________ contro __________ e __________ è respinta. 2. La tassa di giustizia di fr. 250.--, da anticipare dalla parte istante, è a carico di __________, la quale rifonderà a __________ e __________ fr. 500.-- a titolo di indennità." 2. La tassa di giustizia del presente giudizio di fr. 375.--, già anticipata dagli appellanti, è a carico di __________ la quale rifonderà a __________ e __________ fr. 300.-- a titolo di indennità.</w:t>
      </w:r>
    </w:p>
    <w:p>
      <w:r>
        <w:rPr>
          <w:b/>
        </w:rPr>
        <w:t>E. 2</w:t>
      </w:r>
    </w:p>
    <w:p>
      <w:r>
        <w:t>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DTF 104 Ia 413, cons. 4; Jaeger/ Walder/Kull/Kottmann , Bundesgesetz über Schuldbetrei-bung und Konkurs, vol. I, 4a ed., Zurigo 1997, n. 28 ad art. 82; Daniel Staehelin , op. cit., n. 87 s. ad art. 82 LEF; Pierre-Robert Gilliéron , Commentaire de la LP, vol. I, Losanna 1999, n. 82 ad art. 82; P eter Stücheli , Die Rechtsöffnung, tesi Zurigo 2000, p. 350, con rif). b) Nell’esecuzione basata su contratti bilaterali sinallagmatici in cui le parti sono tenute a prestazioni simultanee o in cui spetta al creditore l’obbligo della prestazione anticipata, la scrivente Camera segue in materia di rigetto dell’opposizione la prassi di Basilea Campagna, condivisa dal Tribunale federale in STF 13 ottobre 1986, in: Rep. 1987, p. 150 s. cons. 3, secondo la quale l'eccezione di mancato adempimento della controprestazione risp. di non corretto adempimento deve essere resa verosimile e non solo asserita ( Rep. 1986 p. 112-113; Cometta , op. cit. in Rep. 1989 p. 348; Stahelin , op. cit., n. 105 ad art. 82 LEF). c)  __________ e __________ hanno sollevato l’eccezione di non corretto adempimento, asseverando che l’istante non avrebbe eseguito tutte le prestazioni pattuite. Inoltre __________ avrebbe lavorato male e sarebbero presenti parecchi difetti nell’opera della creditrice. d) Dall’esame della perizia del 29 luglio 1997 __________ (doc. 7), allestita su incarico della Pretura di Vallemaggia nell’ambito di una procedura di prova a futura memoria, emerge l’esistenza di diversi difetti d’esecuzione riferiti al pavimento di larice nella zona notte (fugature di ritiro da perlina a perlina di larghezza da 4 a 7 mm., fessure più o meno evidenti delle stesse perline, abbassamento delle travi portanti il pavimento), al pavimento di larice nella zona giorno (fugature di ritiro da perlina a perlina), alla presenza di umidità e di una fessura sull’intonaco del “frontone”. Inoltre dalla perizia emerge che diversi lavori non sono stati terminati. Sulla base di quanto evidenziato nella perizia, gli escussi hanno potuto rendere sufficientemente verosimile, sulla base di riscontri oggettivi, l’eccezione di non corretto adempimento contrattuale da loro sollevata. Ne consegue che, avendo gli escussi reso verosimile siffatta eccezione, la sentenza del primo giudice deve essere riformata e l’appello accolto.</w:t>
      </w:r>
    </w:p>
    <w:p>
      <w:r>
        <w:rPr>
          <w:b/>
        </w:rPr>
        <w:t>E. 3</w:t>
      </w:r>
    </w:p>
    <w:p>
      <w:r>
        <w:t>Intimazione: -    __________; Comunicazione alla Pretura di Vallemaggia, Cevio.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