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14.2002.19 vom 12. Juni 2002</w:t>
      </w:r>
    </w:p>
    <w:p>
      <w:r>
        <w:t>TI Tribunale d'appello, 2002-06-12, IT</w:t>
      </w:r>
    </w:p>
    <w:p>
      <w:r>
        <w:rPr>
          <w:b/>
        </w:rPr>
        <w:t xml:space="preserve">Quelle: </w:t>
      </w:r>
      <w:r>
        <w:t>https://mcp.opencaselaw.ch/entscheid/ti_gerichte_14.2002.19</w:t>
      </w:r>
    </w:p>
    <w:p>
      <w:r>
        <w:t>FR: TI_GERICHTE 14.2002.19 du 12 juin 2002</w:t>
      </w:r>
    </w:p>
    <w:p>
      <w:r>
        <w:t>IT: TI_GERICHTE 14.2002.19 del 12 giugno 2002</w:t>
      </w:r>
    </w:p>
    <w:p>
      <w:pPr>
        <w:pStyle w:val="Heading2"/>
      </w:pPr>
      <w:r>
        <w:t>Regeste</w:t>
      </w:r>
    </w:p>
    <w:p>
      <w:r>
        <w:t>Sentenza o decisione senza scheda</w:t>
      </w:r>
    </w:p>
    <w:p>
      <w:pPr>
        <w:pStyle w:val="Heading2"/>
      </w:pPr>
      <w:r>
        <w:t>Erwägungen</w:t>
      </w:r>
    </w:p>
    <w:p>
      <w:r>
        <w:rPr>
          <w:b/>
        </w:rPr>
        <w:t>E. 1</w:t>
      </w:r>
    </w:p>
    <w:p>
      <w:r>
        <w:t>lett. b CPC per il rinvio dell’art. 25 LALEF). Questa Camera ha tuttavia già avuto modo di stabilire che in materia di esecuzione di sentenze estere in virtù di un trattato internazionale, si impone di considerare i nova, per evitare un inutile ricorso all'autorità giudiziaria superiore (cfr. __________). Infatti il Tribunale federale ha stabilito che, in un ricorso di diritto pubblico per violazione delle norme di un trattato internazionale in materia di esecuzione delle sentenze, il ricorrente è abilitato a portare argomenti mai sollevati in precedenza così come a produrre nuovi mezzi di prova. L'alta corte federale esamina, in questo caso, liberamente le questioni di fatto e di diritto (cfr. STF 19 settembre 1990 in re E. c. O., cons. 2; DTF 105 Ib 40; DTF 101 Ia 523 s.; Rep. 1971 p. 54).</w:t>
      </w:r>
    </w:p>
    <w:p>
      <w:r>
        <w:rPr>
          <w:b/>
        </w:rPr>
        <w:t>E. 2</w:t>
      </w:r>
    </w:p>
    <w:p>
      <w:r>
        <w:t>Ex art. 80 cpv. 1 LEF quando il credito sia fondato sopra una sentenza esecutiva, il creditore può chiedere in giudizio il rigetto definitivo dell'opposizione. Sono segnatamente parificate a sentenze esecutive le transazioni e riconoscimenti di debito giudiziali (art. 80 cpv. 2 n. 1 LEF).</w:t>
      </w:r>
    </w:p>
    <w:p>
      <w:r>
        <w:rPr>
          <w:b/>
        </w:rPr>
        <w:t>E. 2.1</w:t>
      </w:r>
    </w:p>
    <w:p>
      <w:r>
        <w:t>Questa definizione concerne tuttavia solo i titoli retti dal diritto federale o cantonale (cfr. Pierre-Robert Gilliéron , Commentaire de la LP, vol. I, Losanna 1999, n. 30 ad art. 80; apparentemente in questo senso: Daniel Staehelin , Basler Kommentar zum SchKG, Basilea/Ginevra/ Monaco 1998, Vol. I, n. 3 ad art. 80). Il riconoscimento e l’esecuzione delle decisioni e titoli assimilati esteri è regolato dalle convenzioni bilaterali o multilaterali concluse dalla Svizzera o, per difetto, dalla LDIP (cfr. art. 25 ss. e 28 LDIP).</w:t>
      </w:r>
    </w:p>
    <w:p>
      <w:r>
        <w:rPr>
          <w:b/>
        </w:rPr>
        <w:t>E. 2.2</w:t>
      </w:r>
    </w:p>
    <w:p>
      <w:r>
        <w:t>In casu, non è contestata né è contestabile l’applicabilità della Convenzione di Lugano (in seguito CL). Del resto, il titolo di rigetto invocato (doc. B) è posteriore all’entrata in vigore di questa convenzione per l’Italia (paese di origine), avvenuta il 1. dicembre 1992, e per la Svizzera (paese in cui è chiesto il riconoscimento), avvenuta il 1. gennaio 1992 (cfr. art. 54 cpv. 1 CL). Tale titolo corrisponde alla definizione di decisione ai sensi dell’art. 25 CL.</w:t>
      </w:r>
    </w:p>
    <w:p>
      <w:r>
        <w:rPr>
          <w:b/>
        </w:rPr>
        <w:t>E. 3</w:t>
      </w:r>
    </w:p>
    <w:p>
      <w:r>
        <w:t>L'entrata in vigore della CL con la relativa procedura di exequatur e la modifica degli art. 511 ss. CPC non impediscono al creditore di una pretesa stabilita in una sentenza sottoposta alla CL di procedere secondo l'art. 512 CPC. In sostanza infatti nulla è cambiato quando il creditore non voglia godere dei vantaggi che la CL gli offre, ad esempio del cosiddetto effetto sorpresa che gli consente di iniziare la procedura senza l'emissione di un precetto esecutivo e pertanto senza che il debitore sia previamente avvertito: in siffatta evenienza il giudice del rigetto si limita all'esame preliminare del riconoscimento della sentenza estera - secondo il diritto al riconoscimento materiale previsto dalla CL - nella procedura abituale di rigetto definitivo dell'opposizione (cfr. CEF 4 maggio 1995 in re BS c. AA con rif. in: BlSchK 1997 p. 62 ss., Yves Donzallaz, La Convention de Lugano, vol. II, Berna 1997, n. 1923 ss. e dottrina citata ai n. 2068 e 2070).</w:t>
      </w:r>
    </w:p>
    <w:p>
      <w:r>
        <w:rPr>
          <w:b/>
        </w:rPr>
        <w:t>E. 4</w:t>
      </w:r>
    </w:p>
    <w:p>
      <w:r>
        <w:t>Il Segretario assessore si è pertanto correttamente determinato, interpretando per il giusto verso l'art. 512 CPC nel senso che si ricorre alla laboriosa procedura prevista ex art. 513b e 513c CPC solo quando sia espressamente richiesto dal creditore.</w:t>
      </w:r>
    </w:p>
    <w:p>
      <w:r>
        <w:rPr>
          <w:b/>
        </w:rPr>
        <w:t>E. 5</w:t>
      </w:r>
    </w:p>
    <w:p>
      <w:r>
        <w:t>Qualora l’istanza di rigetto sia, come nella fattispecie, fondata su una decisione estera, il giudice deve quindi limitarsi ad esaminare pregiudizialmente la questione dell’exequatur. Le condizioni per dichiarare il giudizio estero esecutivo in Svizzera sono fissate dalla convenzione internazionale sull’esecuzione applicabile, per difetto dagli art. 25 ss. LDIP (cfr. Staehelin , op. cit., n. 59 e 98 ad art. 80; Gilliéron , op. cit., n. 31-32 ad art. 80). Giusta l’art. 34 cpv. 2 CL, l’istanza di exequatur può essere rigettata solo per uno dei motivi contemplati dagli art. 27 e 28 CL, nessuno dei quali risulta adempiuto in concreto. Essendo l’esame dell’esecutività nell’ambito della procedura di rigetto una questione pregiudiziale, il giudice del rigetto dell’opposizione - a differenza di quanto ritenuto dall’appellante e a differenza di quanto accade conformemente all’art. 31 cpv. 1 CL nell’ambito della procedura indipendente di exequatur avviata conformemente agli art. 513b e 513c CPC- deve esaminarla d’ufficio senza la necessità di un espresso petitum in tal senso da parte del creditore istante. Sufficiente risulta infatti essere la richiesta implicita contenuta nella domanda di rigetto definitivo dell’opposizione. Per gli stessi motivi non vi deve e non vi può essere nessun accertamento in tal senso nel dispositivo della sentenza di rigetto dell’opposizione.</w:t>
      </w:r>
    </w:p>
    <w:p>
      <w:r>
        <w:rPr>
          <w:b/>
        </w:rPr>
        <w:t>E. 6</w:t>
      </w:r>
    </w:p>
    <w:p>
      <w:r>
        <w:t>L’appellante eccepisce che la sentenza 13 febbraio 2001 (doc. B) del Tribunale di __________, II Sezione Civile, non sarebbe cresciuta in giudicato e non sarebbe esecutiva. Affinché una sentenza estera possa essere dichiarata esecutiva non è necessario che la stessa sia cresciuta in giudicato ma è sufficiente che sia esecutiva nello Stato contraente nel quale la stessa sentenza è stata prolata ( Staehelin , op. cit., n. 67 ad art. 80). In concreto a retro della sentenza doc. B vi una chiara attestazione di esecutività nel senso qui espresso. Per questi motivi quindi nulla osta alla dichiarazione, incidentale, di esecutività ed al successivo rigetto definitivo dell'opposizione pronunciato dalla Segretaria assessore.</w:t>
      </w:r>
    </w:p>
    <w:p>
      <w:r>
        <w:rPr>
          <w:b/>
        </w:rPr>
        <w:t>E. 7</w:t>
      </w:r>
    </w:p>
    <w:p>
      <w:r>
        <w:t>L'appello 27 febbraio 2002 di __________, va quindi respinto. La tassa di giustizia e le indennità seguono la soccombenza (art. 48, 49, 61 cpv. 1 e 62 cpv. 2 OTLEF). Per i quali motivi, richiamati gli art. 80 LEF; 61 e 62 OTLEF; 25 ss., 28 LDIP; 25, 27, 28, 34, 54 CL; 22 cpv. 4, 25 LALEF; 321 cpv. 1 lett. b, 511 ss. CPC; pronuncia: 1. L'appello 27 febbraio 2002 di __________, è respinto. 2. La tassa di giustizia di fr. 270.--, già anticipata dall’appellante, resta a carico di __________, il quale rifonderà a __________ fr. 400.-- di indennità. 3. Intimazione a:     __________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