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14.2002.107 vom 21. August 2003</w:t>
      </w:r>
    </w:p>
    <w:p>
      <w:r>
        <w:t>TI Tribunale d'appello, 2003-08-21, IT</w:t>
      </w:r>
    </w:p>
    <w:p>
      <w:r>
        <w:rPr>
          <w:b/>
        </w:rPr>
        <w:t xml:space="preserve">Quelle: </w:t>
      </w:r>
      <w:r>
        <w:t>https://mcp.opencaselaw.ch/entscheid/ti_gerichte_14.2002.107</w:t>
      </w:r>
    </w:p>
    <w:p>
      <w:r>
        <w:t>FR: TI_GERICHTE 14.2002.107 du 21 août 2003</w:t>
      </w:r>
    </w:p>
    <w:p>
      <w:r>
        <w:t>IT: TI_GERICHTE 14.2002.107 del 21 agosto 2003</w:t>
      </w:r>
    </w:p>
    <w:p>
      <w:pPr>
        <w:pStyle w:val="Heading2"/>
      </w:pPr>
      <w:r>
        <w:t>Regeste</w:t>
      </w:r>
    </w:p>
    <w:p>
      <w:r>
        <w:t>Sentenza o decisione senza scheda</w:t>
      </w:r>
    </w:p>
    <w:p>
      <w:pPr>
        <w:pStyle w:val="Heading2"/>
      </w:pPr>
      <w:r>
        <w:t>Erwägungen</w:t>
      </w:r>
    </w:p>
    <w:p>
      <w:r>
        <w:rPr>
          <w:b/>
        </w:rPr>
        <w:t>E. 1</w:t>
      </w:r>
    </w:p>
    <w:p>
      <w:r>
        <w:t>Secondo la convenuta, il gravame andrebbe respinto già per motivi d’ordine, l’appellante avendo postulato l’annullamento della sentenza impugnata senza indicare gli atti della procedura di prima istanza che dovrebbero venire annullati e senza illustrare i motivi che giustificano una richieste del genere. L’eccezione è infondata, dato che risulta evidente che con le proprie richieste di giudizio, ancor che formulate in modo infelice, l’appellante si propone di ottenere la riforma dei dispositivi n. 1 e 2 della sentenza impugnata, ossia la reiezione dell’istanza di rigetto dell’opposizione che è stata accolta dal Pretore e l’addebito della tassa di giustizia e delle ripetibili alla parte istante. 2.a)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contratto di lavoro, steso in forma scritta, comprendente gli elementi negoziali essenziali e sottoscritto dal datore di lavoro, permette di rigettare in via provvisoria l'opposizione per il salario ivi pattuito, dedotte le prestazioni sociali. Non può invece essere concesso il rigetto dell'opposizione, quando il datore di lavoro sostiene in modo credibile, che il lavoratore non ha effettuato la sua prestazione lavorativa nel periodo per cui chiede il salario - ritenuto che solo sostenerlo non è sufficiente - e che queste eccezioni non possono venire subito infirmate dal lavoratore (Daniel Staehelin , Basler Kommentar zum SchKG, vol. I, Basilea/Ginevra/Monaco, 1998, n. 126 ad art. 82; Cometta , op. cit. in Rep 1989 p. 341). c) Il contratto di lavoro stipulato tra le parti il 26 luglio 2001 (doc. B), mediante il quale l'escussa si è impegnata a versare al procedente una retribuzione di fr. 9'000.-- al mese, a partire dal 1° ottobre 2001, costituisce in via di principio riconoscimento di debito nel senso dell'art. 82 LEF per gli stipendi da aprile ad agosto 2002 e di conseguenza per gli importi dedotti dalla __________ in quei mesi per complessivamente fr. 13'903.75 (vedi narrativa fattuale sub B). 3.a)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DTF 104 Ia 413, cons. 4; CEF 12 gennaio 1988 in re Na. c. V.O.; BlSchK 1982 p. 95-97; SJZ 1974 p. 228 n. 44, 1971 p. 26-28; BJM 1970 p. 83-85; ZR 1967 n. 110; ZBJV 1944 p. 416; Panchaud/Caprez , Die Rechtsöffnung, Zurigo 1980, § 26 p. 61; Marcel Caprez , La mainlevée provisoire, FJS 186 p. 6; Staehelin , op. cit. , n. 87 s. ad art. 82 LEF; Pierre-Robert Gilliéron , Commentaire de la LP, vol. I, Losanna 1999, n. 82 ad art. 82; Peter Stücheli, Die Rechtsöffnung, tesi Zurigo 2000, p. 350, con rif.). b) L'eccezione di estinzione del debito per compensazione, va accolta nella misura in cui il credito posto in compensazione sia reso attendibile (Panchaud/Caprez, op. cit, § 36 n. 1 ss. p. 80 ss.; Staehelin , op. cit. n. 93 ad art. 82 LEF). A tal fine spetta all'escusso rendere verosimile non solo il suo diritto a far valere la compensazione, ma anche, sulla base di giustificativi, la causa e l'importo del credito, ritenuto che la compensazione può avvenire solo nel caso in cui l'importo e l'esigibilità della contropretesa risultano con sufficiente chiarezza dalla documentazione agli atti (Panchaud/Caprez, op. cit., § 36 n. 1 e 2, p. 81). c) Ex art. 323b cpv. 2 CO il datore di lavoro può compensare il salario con un credito verso il lavoratore soltanto nella misura in cui il salario sia pignorabile; tuttavia i crediti per danno cagionato intenzionalmente possono essere compensati senza restrizione. Tutte le contropretese del datore di lavoro - non solo quelle derivanti dal rapporto di lavoro come nel caso dell'art. 323a CO - soggiacciono alla restrizione della compensazione prevista dall'art. 323b cpv. 2 CO. Il datore di lavoro deve versare la parte del salario impignorabile, ossia la parte che si situa al di sotto del minimo di esistenza e far valere separatamente la sua contropretesa, sempre che questa non possa venire estinta tramite compensazione. Un'eccezione alla restrizione della compensazione vale per pretese di risarcimento per danni causati intenzionalmente. Il datore di lavoro deve dapprima far determinare l'importo pignorabile dall'ufficio esecuzione (art. 93 LEF). Egli stesso può anche calcolare il minimo di esistenza secondo le direttive cantonali destinate agli uffici esecuzione. La norma relativa alla restrizione della compensazione è imperativa (art. 361 CO) e non può con l'accordo del lavoratore essere sostituita dalla compensazione illimitata. Tutte le contropretese del datore di lavoro - non solo quelle derivanti dal contratto di lavoro come è il caso regolato dall'art. 323a CO - soggiaciono alla restrizione della compensazione prevista dall'art. 323b cpv. 2 CO (Frank Vischer , Der Arbeitsvertrag, Basilea 1994, § 10. VI. b) p. 119; Manfred Rehbinder , Basler Kommentar zum OR, Basilea/Francoforte sul Meno 1996, vol. I n. 3 ad art. 323b; Manfred Rehbinder , Berner Kommentar zum OR, VI/2, Der Arbeitsvertrag, Berna 1985, art. 319-330a OR, n. 9-14 ad art. 323b). d) In casu la __________ ha rilevato che __________ era proprietario della totalità del pacchetto azionario della società __________, proprietaria a sua volta dell'omonimo esercizio pubblico, prima di venderglielo integralmente con contratto 3 agosto 2001 (doc. 2). Secondo l'appellante una deduzione di fr. 6'566.-- dai salari del procedente si rende necessaria poiché quest'ultimo, durante la gestione antecedente alla vendita del menzionato pacchetto azionario, non ha pagato i contributi IVA per fr. 5'785.-- valuta 30.08.1999 risp. fr. 781.-- valuta 30.11.2001, complessivamente fr. 6'566.-- (doc. 4). A carico di __________ andrebbero poste anche le spese per i due precetti esecutivi fatti spiccare dalla Confederazione Svizzera e per gli interessi per complessivamente fr. 208.60. Orbene dal contratto di compravendita delle azioni della __________ (doc. 2) emerge che __________ ne era effettivamente proprietario e venditore. Dalla clausola 4.2 del menzionato contratto si evince che il venditore è ritenuto responsabile di qualsiasi onere relativo al periodo di gestione antecedente e che il trasferimento di proprietà con i relativi utili e rischi ha avuto inizio il 1° ottobre 2001 (punto 3.5). Secondo l'art. 323b cpv. 2 CO il datore di lavoro può compensare il salario con un credito verso il lavoratore, anche se non derivante dal contratto di lavoro, soltanto nella misura in cui il salario sia pignorabile. Questa restrizione non può ritenersi abolita dalla suddetta clausola contenuta nel contratto di compravendita delle azioni della __________ (doc. 2 clausola 4.2.), trattandosi di norma imperativa ex art. 361 CO, per cui l'eccezione di compensazione sollevata dall'appellante soggiace alla restrizione della compensazione ex art. 323b cpv. 2 CO. In casu la datrice di lavoro __________ non ha però fornito alcun calcolo del minimo di esistenza di __________ che permetta di stabilire la quota dei salari con cui potrebbe essere effettuata la compensazione. D'altro canto non è nell'ambito di questa procedura sommaria, ritenuto il limitato potere di cognizione del giudice del rigetto, che può essere calcolato il minimo di esistenza del procedente, per cui non potendo essere quantificata la quota compensabile dei salari del procedente, l'eccezione di compensazione va respinta. L'escussa è rinviata alla procedura ordinaria. Quanto detto vale pure per gli ulteriori importi che l'appellante ha posto in compensazione, ossia le spese varie (telefono, acquisti di forniture eccedenti quanto concordato, ritardi di consegna, ecc.), che secondo l'appellante dovrebbero venire sopportate da __________, la richiesta di risarcimento di fr. 82'500.-- per un danno causato dal preteso inadempimento del contratto di lavoro da parte del procedente e la penale di fr. 150'000.-- prevista dal contratto di compravendita delle azioni della __________ e fatta valere dalla __________ per pretesa violazione contrattuale da parte del venditore __________. In merito a questi importi va inoltre osservato che l'escussa non ha nemmeno prodotto sufficienti riscontri oggettivi sia per quel che riguarda il riconoscimento delle spese da parte di __________, sia per quel che concerne le pretese inadempienze contrattuali risp. la quantificazione degli importi posti in compensazione. Il contratto di lavoro doc. A costituisce quindi valido riconoscimento di debito ex art. 82 LEF per fr. 7'591.75 oltre interessi al 5% dal 13 agosto 2002 e fr. 6'312.-- oltre interessi al 5% dal 31 agosto 2002. La sentenza pretorile va di conseguenza confermata.</w:t>
      </w:r>
    </w:p>
    <w:p>
      <w:r>
        <w:rPr>
          <w:b/>
        </w:rPr>
        <w:t>E. 4</w:t>
      </w:r>
    </w:p>
    <w:p>
      <w:r>
        <w:t>L'appello 20 novembre 2002 __________ va quindi respinto. Tassa di giustizia e indennità seguono la soccombenza (art. 48, 49, 61 cpv. 1 e 62 cpv. 1 OTLEF). Per i quali motivi, richiamato l'art. 82 LEF e 323b cpv. 2 CO pronuncia: 1. L'appello 20 novembre 2002 __________ o, è respinto. 2. La tassa di giustizia di fr. 300.--, già anticipata dall'appellante, resta a carico della __________, la quale rifonderà a __________ fr. 450.-- a titolo di indennità. 3. Intimazione:      - __________ Comunicazione alla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