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14.2002.00050 vom 7. August 2002</w:t>
      </w:r>
    </w:p>
    <w:p>
      <w:r>
        <w:t>TI Tribunale d'appello, 2002-08-07, IT</w:t>
      </w:r>
    </w:p>
    <w:p>
      <w:r>
        <w:rPr>
          <w:b/>
        </w:rPr>
        <w:t xml:space="preserve">Quelle: </w:t>
      </w:r>
      <w:r>
        <w:t>https://mcp.opencaselaw.ch/entscheid/ti_gerichte_14.2002.00050</w:t>
      </w:r>
    </w:p>
    <w:p>
      <w:r>
        <w:t>FR: TI_GERICHTE 14.2002.00050 du 7 août 2002</w:t>
      </w:r>
    </w:p>
    <w:p>
      <w:r>
        <w:t>IT: TI_GERICHTE 14.2002.00050 del 7 agosto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07.08.2002 14.2002.00050</w:t>
      </w:r>
    </w:p>
    <w:p>
      <w:r>
        <w:t>Sentenza o decisione senza scheda</w:t>
      </w:r>
    </w:p>
    <w:p>
      <w:r>
        <w:t>Incarto n. 14.2002.00050 Lugano 7 agosto 2002 /kc In nome della Repubblica e Cantone del Ticino La Camera di esecuzione e fallimenti del Tribunale d'appello composta dei giudici: Cometta, presidente, Pellegrini e Rusca segretaria: Jaques, vicecancelliere visto il ricorso 28 maggio 2002 presentato da __________ avverso __________ ritenuto che sono appellabili le sentenze a procedura sommaria in tema di esecuzione e fallimento riguardanti le procedure il cui valore di causa è superiore ai fr. 8'000.– mentre contro quelle di valore inferiore (procedure inappellabili) è ammesso il solo ricorso per cassazione (cfr. art. 13 e 22 LOG nonché art. 22 cpv. 1 LALEF); atteso che nella fattispecie il valore di causa risulta essere di fr. 2'625,30, pari all'importo chiesto in prima istanza da __________ (cfr. art. 5 CPC); visto che per un disguido di cancelleria il ricorso in esame è stato erroneamente considerato quale appello di competenza della Camera di esecuzione e fallimenti del Tribunale di Appello mentre è da considerare quale ricorso per cassazione di competenza della Camera di cassazione civile del Tribunale di Appello; richiamati gli art. 25 LEF, 22 LALEF, 5 CPC, 13, 22 LOG decreta 1. L’incarto è trasmesso, per competenza, alla Camera di cassazione civile del Tribunale di Appello. 2. Non si prelevano tasse o spese. 3. Intimazione a: – __________. Comunicazione, con trasmissione dell’incarto, alla Camera di cassazione civile. Per la Camera di esecuzione e fallimenti del Tribunale d’appello Il presidente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