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14.2001.113 vom 21. Februar 2002</w:t>
      </w:r>
    </w:p>
    <w:p>
      <w:r>
        <w:t>TI Tribunale d'appello, 2002-02-21, IT</w:t>
      </w:r>
    </w:p>
    <w:p>
      <w:r>
        <w:rPr>
          <w:b/>
        </w:rPr>
        <w:t xml:space="preserve">Quelle: </w:t>
      </w:r>
      <w:r>
        <w:t>https://mcp.opencaselaw.ch/entscheid/ti_gerichte_14.2001.113</w:t>
      </w:r>
    </w:p>
    <w:p>
      <w:r>
        <w:t>FR: TI_GERICHTE 14.2001.113 du 21 février 2002</w:t>
      </w:r>
    </w:p>
    <w:p>
      <w:r>
        <w:t>IT: TI_GERICHTE 14.2001.113 del 21 febbraio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debito, compresi gli interessi e le spese, è stato estinto;</w:t>
      </w:r>
    </w:p>
    <w:p>
      <w:r>
        <w:rPr>
          <w:b/>
        </w:rPr>
        <w:t>E. 2</w:t>
      </w:r>
    </w:p>
    <w:p>
      <w:r>
        <w:t>l'importo dovuto è stato depositato presso l'autorità giudiziaria                superiore a disposizione del creditore; o che</w:t>
      </w:r>
    </w:p>
    <w:p>
      <w:r>
        <w:rPr>
          <w:b/>
        </w:rPr>
        <w:t>E. 3</w:t>
      </w:r>
    </w:p>
    <w:p>
      <w:r>
        <w:t>Le spese dell'Ufficio esecuzione e fallimenti di Locarno, da anticipare come di rito, sono poste a carico della __________ II. La tassa di giustizia del presente giudizio in fr. 90.--, già anticipata dall'appellante, resta a carico della __________. III. Intimazione a: - __________ Per la Camera di esecuzione e fallimenti del Tribunale d’appello Il vicepresidente               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