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14.2000.97 vom 27. März 2001</w:t>
      </w:r>
    </w:p>
    <w:p>
      <w:r>
        <w:t>TI Tribunale d'appello, 2001-03-27, IT</w:t>
      </w:r>
    </w:p>
    <w:p>
      <w:r>
        <w:rPr>
          <w:b/>
        </w:rPr>
        <w:t xml:space="preserve">Quelle: </w:t>
      </w:r>
      <w:r>
        <w:t>https://mcp.opencaselaw.ch/entscheid/ti_gerichte_14.2000.97</w:t>
      </w:r>
    </w:p>
    <w:p>
      <w:r>
        <w:t>FR: TI_GERICHTE 14.2000.97 du 27 mars 2001</w:t>
      </w:r>
    </w:p>
    <w:p>
      <w:r>
        <w:t>IT: TI_GERICHTE 14.2000.97 del 27 marzo 2001</w:t>
      </w:r>
    </w:p>
    <w:p>
      <w:pPr>
        <w:pStyle w:val="Heading2"/>
      </w:pPr>
      <w:r>
        <w:t>Regeste</w:t>
      </w:r>
    </w:p>
    <w:p>
      <w:r>
        <w:t>Sentenza o decisione senza scheda</w:t>
      </w:r>
    </w:p>
    <w:p>
      <w:pPr>
        <w:pStyle w:val="Heading2"/>
      </w:pPr>
      <w:r>
        <w:t>Erwägungen</w:t>
      </w:r>
    </w:p>
    <w:p>
      <w:r>
        <w:rPr>
          <w:b/>
        </w:rPr>
        <w:t>E. 1</w:t>
      </w:r>
    </w:p>
    <w:p>
      <w:r>
        <w:t>ottobre 1993, sia stata corretta a mano nel doc. A mentre è stata correttamente indicata, già nella versione non modificata dalle parti mediante correzioni a mano, nel doc. 1 e il fatto che lo stesso procedente abbia sottoscritto documenti ufficiali che indicavano che egli si occupava presso la _________ della progettazione e delle vendite, senza alcun accenno alla gestione della sede __________ quale vice-presidente, come era previsto nel doc. A, rendono sufficientemente verosimile, sulla base di riscontri oggettivi, l’eccezione della convenuta secondo cui il doc. 1 sia stato allestito e sottoscritto posteriormente al doc. A. Il doc. 1 costituisce anch’esso valido titolo di rigetto e si giustifica pertanto, in principio, il rigetto dell’opposizione per gli impegni assunti dall’escussa in questo documento, ossia per gli stipendi ivi pattuiti, ad eccezione però della provvigione, in quanto nello stesso doc. 1 non prevista. c) L’escussa ha ancora eccepito che, sebbene il doc. A fosse anteriore e quindi superato dal doc. 1, il rapporto tra le parti non era nemmeno retto dal contratto di lavoro prodotto quale doc. 1, perché datore di lavoro e lavoratore avrebbero pattuito uno stipendio mensile di fr. 7'000.-- in luogo di fr. 7'800.--, come originariamente previsto sia dal doc. A che dal doc. 1. Dai doc. 2.12 e 2.14, ossia dai formulari di permesso di dimora trasmessi il 6 dicembre 1993 e il 9 giugno 1994, ossia quando il rapporto di lavoro era già iniziato, alla Sezione cantonale degli stranieri e sottoscritti sia dal datore di lavoro che dal lavoratore, risulta che lo stipendio del procedente era di fr. 7'000.-- mensili per tredici mensilità, importo che, come risulta dai doc. 3, 4 e 5, e come ammesso per i mesi da ottobre 1993 a settembre 1994 dal convenuto medesimo, gli è sempre stato versato. Siffatti documenti, unitamente alla circostanza che dagli atti non risulta che prima dell’emissione del PE n. __________il procedente abbia mai richiesto alla datrice di lavoro la differenza di stipendio, sebbene non costituiscano la prova certa sono perlomeno concreti indizi perché il giudice del rigetto possa ritenere che le parti abbiano successivamente modificato il salario pattuito nel contratto di lavoro di cui al doc. 1. Avendo l’escussa provato mediante il doc. 5, ossia mediante la fotocopia dell’avviso di addebito del 7 novembre 1994, di aver versato al procedente anche lo stipendio pro rata per il mese di ottobre 1994 e ciò in conformità ai termini di rescissione contrattuale indicati nella disdetta del 25 ottobre 1994 (doc. B), l’esame della cui validità non è nel potere di cognizione del giudice del rigetto, l’appello deve essere integralmente respinto e la sentenza della giudice di prime cure confermata.</w:t>
      </w:r>
    </w:p>
    <w:p>
      <w:r>
        <w:rPr>
          <w:b/>
        </w:rPr>
        <w:t>E. 4</w:t>
      </w:r>
    </w:p>
    <w:p>
      <w:r>
        <w:t>L'appello 5 ottobre 2000 di __________ va quindi respinto. Tassa di giustizia e indennità seguono la soccombenza (art. 48, 49, 61 cpv. 1 e 62 cpv. 1 OTLEF). Per i quali motivi, richiamati gli art. 82 LEF, 20 cpv. 2 LALEF pronuncia: 1. L'appello</w:t>
      </w:r>
    </w:p>
    <w:p>
      <w:r>
        <w:rPr>
          <w:b/>
        </w:rPr>
        <w:t>E. 5</w:t>
      </w:r>
    </w:p>
    <w:p>
      <w:r>
        <w:t>ottobre 2000 di __________, è respinto. 2. La tassa di giustizia di fr. 400.--, già anticipata dall'appellante, è a carico di __________, il quale rifonderà a __________ __________ fr. 800.-- a titolo di indennità. 3. Intimazione:__________ Comunicazione alla Pretura del Distretto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