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14.2000.19 vom 18. Oktober 2000</w:t>
      </w:r>
    </w:p>
    <w:p>
      <w:r>
        <w:t>TI Tribunale d'appello, 2000-10-18, IT</w:t>
      </w:r>
    </w:p>
    <w:p>
      <w:r>
        <w:rPr>
          <w:b/>
        </w:rPr>
        <w:t xml:space="preserve">Quelle: </w:t>
      </w:r>
      <w:r>
        <w:t>https://mcp.opencaselaw.ch/entscheid/ti_gerichte_14.2000.19</w:t>
      </w:r>
    </w:p>
    <w:p>
      <w:r>
        <w:t>FR: TI_GERICHTE 14.2000.19 du 18 octobre 2000</w:t>
      </w:r>
    </w:p>
    <w:p>
      <w:r>
        <w:t>IT: TI_GERICHTE 14.2000.19 del 18 ottobre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L'appello 4 marzo 2000 di __________ va quindi accolto. Tassa di giustizia e indennità seguono la soccombenza (art. 48, 49, 61 cpv. 1 e 62 cpv. 1 OTLEF). Per i quali motivi, richiamato l'art. 82 LEF pronuncia: I. L'appello 4 marzo 2000 di __________, è accolto. Di conseguenza la sentenza 24 febbraio 2000 della Pretore del Distretto di Lugano, Sezione 5, è così riformata: "1.   L'istanza  2 febbraio 2000 __________, è respinta. 2.  La tassa di giustizia di fr. 180.--, da anticipare dalla parte istante, è posta a carico della __________ la quale rifonderà a __________ fr. 300.-- a titolo di indennità." II. La tassa di giustizia del presente giudizio di fr. 270.--, già anticipata dall'appellante, è a carico della __________ la quale rifonderà a __________ fr. 300.-- a titolo di indennità. III. Intimazione a:  - __________; Comunicazione alla Pretura del Distretto di Lugano, Sezione</w:t>
      </w:r>
    </w:p>
    <w:p>
      <w:r>
        <w:rPr>
          <w:b/>
        </w:rPr>
        <w:t>E. 5</w:t>
      </w:r>
    </w:p>
    <w:p>
      <w:r>
        <w:t>Per la Camera di esecuzione e fallimenti del Tribunale d’appello Il presidente 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