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14.2000.120 vom 27. März 2001</w:t>
      </w:r>
    </w:p>
    <w:p>
      <w:r>
        <w:t>TI Tribunale d'appello, 2001-03-27, IT</w:t>
      </w:r>
    </w:p>
    <w:p>
      <w:r>
        <w:rPr>
          <w:b/>
        </w:rPr>
        <w:t xml:space="preserve">Quelle: </w:t>
      </w:r>
      <w:r>
        <w:t>https://mcp.opencaselaw.ch/entscheid/ti_gerichte_14.2000.120</w:t>
      </w:r>
    </w:p>
    <w:p>
      <w:r>
        <w:t>FR: TI_GERICHTE 14.2000.120 du 27 mars 2001</w:t>
      </w:r>
    </w:p>
    <w:p>
      <w:r>
        <w:t>IT: TI_GERICHTE 14.2000.120 del 27 marzo 2001</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sede di appello è esclusa la produzione di nuovi documenti (cfr. art. 321 cpv. 1 lett. b CPC; Flavio Cometta , Il rigetto provvisorio dell'opposizione nella prassi giudiziaria ticinese in Rep 1989, p. 333). La documentazione prodotta da __________ con l’atto d'appello, in particolare la sentenza 18 maggio 1999 del Segretario assessore della Pretura di Lugano, deve quindi essere estromessa dall'incarto e non può venire considerata ai fini del giudizio.</w:t>
      </w:r>
    </w:p>
    <w:p>
      <w:r>
        <w:rPr>
          <w:b/>
        </w:rPr>
        <w:t>E. 2</w:t>
      </w:r>
    </w:p>
    <w:p>
      <w:r>
        <w:t>a) Per l’art. 80 cpv. 1 LEF quando un credito posto in esecuzione è fondato su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(cfr. Fritzsche/Walder , Schuldbetreibung und Konkurs nach schweizerischem Recht, vol. I, Zurigo 1984, § 19 m. 2). b) Ex art. 80 cpv. 1 n.</w:t>
      </w:r>
    </w:p>
    <w:p>
      <w:r>
        <w:rPr>
          <w:b/>
        </w:rPr>
        <w:t>E. 3</w:t>
      </w:r>
    </w:p>
    <w:p>
      <w:r>
        <w:t>Nel caso di specie il Comune di __________ fonda la sua pretesa nei confronti di __________ sulla notifica di tassazione per l'imposta cantonale 1993/94 del 13 marzo 1995 (doc. A), sui conteggi relativi all’imposta comunale per l’anno 1994 (doc. B) effettuati sulla base della notifica di tassazione per l’imposta cantonale, nonché sul conteggio degli interessi di ritardo (doc. C).</w:t>
      </w:r>
    </w:p>
    <w:p>
      <w:r>
        <w:rPr>
          <w:b/>
        </w:rPr>
        <w:t>E. 4</w:t>
      </w:r>
    </w:p>
    <w:p>
      <w:r>
        <w:t>Per l’art. 10 cpv. 3 vLT, applicabile alla fattispecie in esame essendo l‘anno fiscale 1994 precedente all’entrata in vigore della nuova Legge tributaria, avvenuta il 1° gennaio 1995 (art. 326 cpv. 1 e 2 LT), i coniugi non legalmente ed effettivamente separati rispondono solidalmente per l’imposta complessiva dovuta dalla famiglia. Solo nelle fattispecie esaustivamente indicate alle lett. a-d cpv. 3 dell’art. 10 vLT vi è decadenza della responsabilità solidale dei coniugi. __________ non ha documentata o altrimenti reso verosimile l’esistenza in concreto di una di queste fattispecie atte a far decadere la responsabilità solidale dei coniugi, atteso che neppure la sentenza di divorzio del 18 maggio 1999 del Segretario assessore della Pretura di Lugano, menzionata nell’atto d’appello, è stata prodotta dall’escussa ritualmente dinanzi al giudice di prime cure e pertanto, per i motivi indicati sub 1, non può essere considerata ai fini del giudizio. La documentazione prodotta, segnatamente i conteggi relativi all’imposta comunale per l’anno 1994 (doc. B) effettuati sulla base della notifica di tassazione per l’imposta cantonale, nonché il conteggio degli interessi di ritardo (doc. C), muniti dell’attestazione dell’avvenuta crescita in giudicato, costituiscono pertanto valido titolo esecutivo ex art. 80 LEF nei confronti dell’escussa. Ne consegue l’integrale conferma del pronunciato di prima sede.</w:t>
      </w:r>
    </w:p>
    <w:p>
      <w:r>
        <w:rPr>
          <w:b/>
        </w:rPr>
        <w:t>E. 5</w:t>
      </w:r>
    </w:p>
    <w:p>
      <w:r>
        <w:t>L'appello 23 novembre 2000 di __________ va quindi respinto. La tassa di giustizia segue la soccombenza, mentre non si assegnano indennità non avendo il Comune di __________ presentato osservazioni all’appello (art. 48, 49, 61 cpv. 1 e 62 cpv. 2 OTLEF). Per i quali motivi, richiamati gli art. 80 e 81 LEF, 20 cpv. 2 e 28 LALEF, 321 cpv. 1 lett. b CPC, 10 cpv. 3 vLT, 326 LT pronuncia 1. L'appello 23 novembre 2000 di __________, è respinto. 2. La tassa di giustizia di fr. 270.--, già anticipata dall'appellante, resta a carico di __________. Non si assegnano indennità. 3. Intimazione:    ________ Comunicazione alla Pretura del Distretto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