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14.2000.00127 vom 30. November 2000</w:t>
      </w:r>
    </w:p>
    <w:p>
      <w:r>
        <w:t>TI Tribunale d'appello, 2000-11-30, IT</w:t>
      </w:r>
    </w:p>
    <w:p>
      <w:r>
        <w:rPr>
          <w:b/>
        </w:rPr>
        <w:t xml:space="preserve">Quelle: </w:t>
      </w:r>
      <w:r>
        <w:t>https://mcp.opencaselaw.ch/entscheid/ti_gerichte_14.2000.00127_d20001130</w:t>
      </w:r>
    </w:p>
    <w:p>
      <w:r>
        <w:t>FR: TI_GERICHTE 14.2000.00127 du 30 novembre 2000</w:t>
      </w:r>
    </w:p>
    <w:p>
      <w:r>
        <w:t>IT: TI_GERICHTE 14.2000.00127 del 30 novembre 2000</w:t>
      </w:r>
    </w:p>
    <w:p>
      <w:pPr>
        <w:pStyle w:val="Heading2"/>
      </w:pPr>
      <w:r>
        <w:t>Regeste</w:t>
      </w:r>
    </w:p>
    <w:p>
      <w:r>
        <w:t>Sentenza o decisione senza scheda</w:t>
      </w:r>
    </w:p>
    <w:p>
      <w:pPr>
        <w:pStyle w:val="Heading2"/>
      </w:pPr>
      <w:r>
        <w:t>Erwägungen</w:t>
      </w:r>
    </w:p>
    <w:p>
      <w:r>
        <w:rPr>
          <w:b/>
        </w:rPr>
        <w:t>E. 30</w:t>
      </w:r>
    </w:p>
    <w:p>
      <w:r>
        <w:t>ottobre 1996 in re __________ e llcc – e che il relativo decreto di stralcio comporta conseguenze di natura unicamente processuale e non materiale, cfr. II CCA 22 giugno 1982 in re Coste c/ Bellarosa), va infatti constatato che l’oggetto delle due liti era la rivendicazione di un diritto di proprietà sulla somma sequestrata penalmente (cfr. doc. A, p. 3; doc. J, p. 2 ad B), quindi un oggetto diverso dalla contestazione in esame, la quale verte invece sull’asserita esistenza di un credito della moglie nei confronti del marito in restituzione della medesima somma. La mancata identità tra l’oggetto delle cause in questione esclude pertanto che l’asserita forza di cosa giudicata delle sentenze 8 maggio 1995 e 8 giugno 1999 si estenda alle pretese che __________ pone a fondamento del suo sequestro. 4.3. In assenza di un abuso di diritto manifesto, spetta quindi esclusivamente al giudice competente, nell’ambito della procedura di contestazione della graduatoria (art. 148 LEF), pronunciarsi sulle censure dell’appellante. 5. Il fatto che a __________ difetti un interesse attuale per opporsi al sequestro (cfr. sopra cons. 3.5) non esclude che questo non possa causarle un danno che debba essere garantito in virtù dell’art. 273 LEF. Infatti, è solo grazie al sequestro, in quanto le assicura un foro esecutivo in Svizzera che altrimenti verrebbe a mancare, che __________ è in grado di partecipare allo stesso gruppo di esecuzione che __________ e quindi di privare quest’ultima di una parte dell’importo sequestrato. D’altronde, qualora __________ riuscisse a dimostrare il carattere revocabile del credito riconosciuto da __________ a favore della moglie, per riflesso dovrebbe essere annullato il sequestro che apparirebbe allora manifestamente abusivo. Orbene, per contestare la partecipazione di __________ al pignoramento della somma sequestrata, __________ dovrà anticipare le spese di un probabile processo di contestazione della graduatoria (ex art. 148 LEF) ed esporre le necessarie spese di patrocinio, per le quali non vi è la garanzia che, in caso di successo di __________ verrebbero rifuse dall’appellata; una cauzione processuale può infatti essere imposta solo all’attore (cfr. art. 153 CPC) e la responsabilità del marito per queste spese non appare scontata. Dette spese possono essere valutate in circa fr. 300'000.--, con riferimento agli art. 9 TOA e 17 cpv. 1LTG e tenuti presenti i seguenti elementi: fr.  11'152'223,71               somma sequestrata il 2 agosto 2000 [cfr. verbale di pignoramento, doc. 4] fr.   1'449’789,08               11'152'223,71 * 13%: interessi annuali del 5% fino almeno a fine 2003, tempo verosimilmente necessario per portare a termine la causa di contestazione della graduatoria fr. 12'602’012,79               somma totale sequestrata al 31.12.03 60,53%                            dividendo in percento di __________, tenuto conto degli importi dei crediti figuranti nel verbale di pignoramento: fr. 19'842'122 fr. 19'842'122 + 12'937'282,20 fr.   7'627’998,34               dividendo in cifre afferente a __________ (60,53% di 12'602’012,79): VALORE LITIGIOSO della causa di contestazione Va quindi ordinata la prestazione di una garanzia ex art. 273 LEF di fr. 300'000.--, ritenuto che non si tiene conto della causa che __________ sembra intenzionata ad inoltrare in Canada contro la sentenza 12 ottobre 1999 della Corte Superiore di Giustizia di __________, visto che lo scopo perseguito può essere raggiunto con un altro mezzo giuridico – l’azione di contestazione della graduatoria davanti al giudice del foro dell’esecuzione (cfr. art. 148 cpv. 1 LEF) – apparentemente più semplice e meno oneroso. 6. L’appello 7 dicembre 2000 __________ va quindi accolto parzialmente. La tassa di giustizia e le ripetibili seguono la soccombenza (cfr. art. 48, 49, 61 cpv. 1 e 62 cpv. 1 OTLEF). Richiamati gli art. 59, 60 CP, 271 ss., 285 ss. LEF, 25, 26 LALEF e, per le spese, la vigente OTLEF, pronuncia: 1. L’istanza 15 dicembre 2000 di prestazione di una cauzione processuale presentata da __________ è respinta. 2. L’appello del 7 dicembre 2000 di __________ in quanto ricevibile, è parzialmente accolto. 2.1. E’ fatto obbligo ad __________), di prestare una garanzia di primario istituto bancario con sede in Svizzera o altro titolo equivalente per l’importo di fr. 300’000.-- (trecentomila franchi) in favore di __________, per eventuali danni da questi subiti a dipendenza del sequestro di cui al decreto 26 giugno 2000 n. 395172 della Pretura di Bellinzona, qualora detto sequestro risultasse ingiustificato. 2.2. La garanzia dovrà essere prestata alla Pretura di Bellinzona entro trenta giorni dall’intimazione della presente sentenza, con la comminatoria della decadenza del sequestro in caso di mancata tempestiva dazione della garanzia. 2.3. La garanzia dovrà valere per tutta la durata del sequestro e fino alla crescita in giudicato della decisione finale di un’eventuale causa ex art. 273 cpv.2 LEF promossa dal beneficiario. In caso di revoca o decadenza definitiva del sequestro, la garanzia prestata rimarrà valida almeno fino ad un anno dalla revoca rispettivamente dalla decadenza del sequestro, atteso che potrà essere liberata prima della decorrenza di questo termine soltanto con il consenso esplicito del beneficiario oppure su ordine del giudice. 3. La tassa di giustizia di fr. 1’500.--, già anticipata da __________ rimane a suo carico per 3/4 mentre per 1/4 è posta a carico di __________. __________ rifonderà alle controparti fr. 2'000.-- ciascuna di indennità. 4. Intimazione a: – __________. Comunicazione a: – Pretura di Bellinzona; – Ufficio esecuzioni di Bellinzona. Per la Camera di Esecuzione e Fallimenti del Tribunale di 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