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14.2000.00107 vom 14. Dezember 2000</w:t>
      </w:r>
    </w:p>
    <w:p>
      <w:r>
        <w:t>TI Tribunale d'appello, 2000-12-14, IT</w:t>
      </w:r>
    </w:p>
    <w:p>
      <w:r>
        <w:rPr>
          <w:b/>
        </w:rPr>
        <w:t xml:space="preserve">Quelle: </w:t>
      </w:r>
      <w:r>
        <w:t>https://mcp.opencaselaw.ch/entscheid/ti_gerichte_14.2000.00107</w:t>
      </w:r>
    </w:p>
    <w:p>
      <w:r>
        <w:t>FR: TI_GERICHTE 14.2000.00107 du 14 décembre 2000</w:t>
      </w:r>
    </w:p>
    <w:p>
      <w:r>
        <w:t>IT: TI_GERICHTE 14.2000.00107 del 14 dicembre 2000</w:t>
      </w:r>
    </w:p>
    <w:p>
      <w:pPr>
        <w:pStyle w:val="Heading2"/>
      </w:pPr>
      <w:r>
        <w:t>Regeste</w:t>
      </w:r>
    </w:p>
    <w:p>
      <w:r>
        <w:t>Sentenza o decisione senza scheda</w:t>
      </w:r>
    </w:p>
    <w:p>
      <w:pPr>
        <w:pStyle w:val="Heading2"/>
      </w:pPr>
      <w:r>
        <w:t>Erwägungen</w:t>
      </w:r>
    </w:p>
    <w:p>
      <w:r>
        <w:rPr>
          <w:b/>
        </w:rPr>
        <w:t>E. 3</w:t>
      </w:r>
    </w:p>
    <w:p>
      <w:r>
        <w:t>LALEF, art. 5 cpv. 1 LOG). La procedura, di natura sommaria (art. 25 n. 2 lett. a LEF), è retta dall’art. 19 LALEF che non prevede il contraddittorio. 1.2.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Walter Stoffel , Le séquestre, in: La LP révisée, collana CEDIDAC, vol. 35, Losanna 1997, p. 280 s.; Pierre-Robert Gilliéron , Le séquestre dans la LP révisée, in: BlSchK 1995, p. 132 e rif.; Bertrand Reeb , Les mesures provisoires dans la procédure de poursuite, in: ZSR 1997/II, p. 466; Amonn/Gasser , Grundriss des Schuldbetreibungs- und Konkursrechts,</w:t>
      </w:r>
    </w:p>
    <w:p>
      <w:r>
        <w:rPr>
          <w:b/>
        </w:rPr>
        <w:t>E. 6</w:t>
      </w:r>
    </w:p>
    <w:p>
      <w:r>
        <w:t>ed., Berna 1997, n. 2 ad § 51; Rudolf Ottomann , Der Arrest, in: ZSR 1996/I, p. 253, n. 32). 1.3. 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 Jérôme Piégai , La protection du débiteur et des tiers dans le nouveau droit du séquestre, tesi Losanna 1997, p. 213 ss. con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Oscar Vogel , Grundriss des Zivilprozessrechts, 6a ed., Berna 1999, n. 24 ad cap. 6). In particolare, non vanno ammessi in procedura sommaria i richiami di incarti né le richieste di edizione (cfr. CEF 5 luglio 2000, in re B. GmbH c/ K., cons. 1.5c). Rimane alle parti la possibilità di produrre fotocopie degli atti che necessitano loro.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c) Vi è verosimiglianza quando esiste una certa probabilità che i fatti allegati corrispondano al vero ( Piégai , op. cit., n. 792, p. 173). Il grado di verosimiglianza richiesto è oggetto di apprezzamenti divergenti. Vi è chi richiede un'alta verosimiglianza ( Amonn/Gasser , op. cit., §51 n. 40), chi si limita ad una verosimiglianza semplice ( Gilliéron , op. cit., p. 132; Stoffel , op. cit., p. 281; Hohl , op. cit., nota 222 ad n. 459: almeno 51% di probabilità che la tesi del sequestrante sia vera; pure in questo senso: Reeb , op. cit., [“plus vraisemblable”]; Ottomann , op. cit., n. 32 p. 253 ["wahrscheinlicher"]; Urs Engler , Basler Kommentar, Vol. I, Basilea/Ginevra/ Monaco 1998, n. 13 ad art. 25 ["lediglich als überwiegend wahr halten"]; Peter Breitschmid [Übersicht zur Arrestwilligungspraxis nach revidiertem SchKG, AJP 1999, p. 1010 ad 2.1.3] sostiene che la questione di sapere se il grado di verosimiglianza richiesto sia di 60:40 oppure solo di 40:60 non si lascia determinare con una precisione matematica), chi abbassa l’asticella al 33 % ( Flavio Cometta , Assistenza giudiziaria internazionale in materia esecutiva, Collana CFPG rossa, vol. 20, Lugano 1999, p. 166, n. 2.2.6.2: “in termini percentuali non occorre che la tesi del sequestrante superi di gran lunga o di poco la soglia del 50 % delle probabilità: vero è però che la verosimiglianza delle argomentazioni del creditore non può essere sensibilmente inferiore a tale limite, ritenuto che valori minori di una probabilità su tre sono in linea di principio inidonei a determinare il provvedimento incisivo del sequestro”) e chi si accontenta di una verosimiglianza molto bassa che sarebbe sempre data a meno che il preteso debitore non rechi una prova completa dell'inesistenza della circostanza resa verosimile dal sequestrante ( Piégai , op. cit., p. 174-175; decisione 8 luglio 1999 della 1ère Section de la Cour de Justice de Genève, in SJ 2000 I 332, cons. 2). Le tesi estreme vanno respinte in considerazione, da un lato, del carattere provvisionale e urgente della misura del sequestro, dall'altro, della giurisprudenza del TF e del Messaggio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(nella prima fase di concessione) e ai limiti dei mezzi di prova in procedura sommaria (tanto nella prima fase che in sede di opposizione ex art. 278 LEF, cfr. Flavio Cometta , Il sequestro nella prassi giudiziaria ticinese, in: Esecuzione, fallimento e concordato: temi scelti, Schweizerisches Institut für Verwaltungskurse an der Universität St. Gallen, 2000, p. 6, n. 3.2.d), una probabilità del 33% (1/3) deve essere la soglia minima da raggiungere dal sequestrante per ottenere il sequestro ( CEF</w:t>
      </w:r>
    </w:p>
    <w:p>
      <w:r>
        <w:rPr>
          <w:b/>
        </w:rPr>
        <w:t>E. 10</w:t>
      </w:r>
    </w:p>
    <w:p>
      <w:r>
        <w:t>aprile 2000 in re R.P. c. A. I. H. C. L. cons. 1.5. d).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d) Il grado di verosimiglianza richiesto, così come risulta dal testo dell’art. 272 cpv. 1 LEF , è lo stesso per i tre presupposti. Di opinione diversa: Breitschmid (op. cit., p. 1010-1011, ad 2.2.1), che segue la giurisprudenza zurighese, secondo la quale per la questione della verosimiglianza dell’appartenenza dei beni al sequestrato vanno poste delle esigenze meno strette che per gli altri due presupposti. Il fatto che il carattere investigativo del sequestro possa ragionevolmente essere escluso quando sia stata resa verosimile l’esistenza del credito e di una causa di sequestro non impedisce tuttavia di assicurarsi che i beni sequestrati appartengano al debitore, perché il giudice del sequestro deve anche tutelare l’interesse dei terzi, che il legislatore ha pure voluto proteggere con l’adozione della nuova disciplina del sequestro. Infatti, l’esistenza di un credito contro il debitore non giustifica evidentemente un sequestro nei confronti di un terzo. D’altra parte, la difficoltà nel designare in modo preciso i beni sequestrati appare essere un falso problema. Il fatto che titolare di un conto o di un safe sia il debitore sequestrato basta ovviamente a rendere verosimile la condizione dell’appartenenza (presunzione tratta dal possesso), senza che si debba inoltre esigere che il sequestrante dimostri l’esistenza di un saldo attivo o descriva in dettaglio il contenuto del safe, questioni che si pongono solo al momento dell’esecuzione del sequestro. 2.   Condizioni materiali per la concessione del sequestro Giusta l’art. 272 cpv. 1 LEF, il sequestro viene concesso dal giudice del luogo in cui si trovano i beni, purché il creditore renda verosimile l'esistenza: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