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14.2000.00007 vom 7. September 2000</w:t>
      </w:r>
    </w:p>
    <w:p>
      <w:r>
        <w:t>TI Tribunale d'appello, 2000-09-07, IT</w:t>
      </w:r>
    </w:p>
    <w:p>
      <w:r>
        <w:rPr>
          <w:b/>
        </w:rPr>
        <w:t xml:space="preserve">Quelle: </w:t>
      </w:r>
      <w:r>
        <w:t>https://mcp.opencaselaw.ch/entscheid/ti_gerichte_14.2000.00007</w:t>
      </w:r>
    </w:p>
    <w:p>
      <w:r>
        <w:t>FR: TI_GERICHTE 14.2000.00007 du 7 septembre 2000</w:t>
      </w:r>
    </w:p>
    <w:p>
      <w:r>
        <w:t>IT: TI_GERICHTE 14.2000.00007 del 7 settembre 2000</w:t>
      </w:r>
    </w:p>
    <w:p>
      <w:pPr>
        <w:pStyle w:val="Heading2"/>
      </w:pPr>
      <w:r>
        <w:t>Regeste</w:t>
      </w:r>
    </w:p>
    <w:p>
      <w:r>
        <w:t>Sentenza o decisione senza scheda</w:t>
      </w:r>
    </w:p>
    <w:p>
      <w:pPr>
        <w:pStyle w:val="Heading2"/>
      </w:pPr>
      <w:r>
        <w:t>Erwägungen</w:t>
      </w:r>
    </w:p>
    <w:p>
      <w:r>
        <w:rPr>
          <w:b/>
        </w:rPr>
        <w:t>E. 1</w:t>
      </w:r>
    </w:p>
    <w:p>
      <w:r>
        <w:t>Ex art. 82 cpv. 1 LEF se il credito si fonda sopra un riconoscimento di debito constatato mediante atto pubblico o scrittura privata, il creditore può chiedere il rigetto provvisorio dell’opposizione. Il giudice del rigetto accerta d'ufficio ed in ogni stadio di causa (quindi anche in sede d'appello) se la documentazione prodotta costituisce valido riconoscimento di debito (cfr. Cometta , Il rigetto provvisorio dell'opposizione nella prassi giudiziaria ticinese, in Rep 1989, p. 331).</w:t>
      </w:r>
    </w:p>
    <w:p>
      <w:r>
        <w:rPr>
          <w:b/>
        </w:rPr>
        <w:t>E. 2</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 Flavio Cometta , op. cit., p. 338 con riferimenti).</w:t>
      </w:r>
    </w:p>
    <w:p>
      <w:r>
        <w:rPr>
          <w:b/>
        </w:rPr>
        <w:t>E. 3</w:t>
      </w:r>
    </w:p>
    <w:p>
      <w:r>
        <w:t>Nella fattispecie, il doc. C (datato 26 luglio 1999), a prescindere dal fatto di sapere se è firmato da un rappresentante autorizzato dell’escussa (cfr. infra cons. 4), costituisce indubbiamente un valido titolo di rigetto provvisorio, poiché gli importi riconosciuti sono cifrati e la loro esigibilità precisata.</w:t>
      </w:r>
    </w:p>
    <w:p>
      <w:r>
        <w:rPr>
          <w:b/>
        </w:rPr>
        <w:t>E. 3.1</w:t>
      </w:r>
    </w:p>
    <w:p>
      <w:r>
        <w:t>Questo vale in ogni caso per le due prime rate di LIT 250'000'000 e 30'000'000, che non sono oggetto della riserva concernente invece solo l’importo residuale di LIT 320'131'423. È ben vero che nel penultimo paragrafo del doc. G (del 3 agosto 1999, quindi posteriore al doc. C) il versamento della prima rata è legato ad una conferma da parte dell’escutente quanto alle condizioni del pagamento della terza rata. Il debitore non può tuttavia (cfr. Panchaud/Caprez , Die Rechtsöffnung, Zurigo 1980, n. 15 ad § 13) revocare unilateralmente un suo riconoscimento di debito venuto a conoscenza del creditore e da lui accettato (cfr. doc. D, seconda frase). Semmai il riconoscimento di debito di cui al doc. C era viziato da errore essenziale (cfr. DTF 96 II 25), spettava all’escusso sollevare e rendere verosimile l’eccezione che lo infirma (art. 82 cpv. 2 LEF). Non lo ha fatto.</w:t>
      </w:r>
    </w:p>
    <w:p>
      <w:r>
        <w:rPr>
          <w:b/>
        </w:rPr>
        <w:t>E. 3.2</w:t>
      </w:r>
    </w:p>
    <w:p>
      <w:r>
        <w:t>Il pagamento del residuo di LIT 320'131'423 dipende invece “dall’adempimento degli obblighi contrattuali dai __________ ”. Ci si può chiedere se tale condizione deve essere interpretata come una riserva da parte della debitrice relativa all’esigibilità del credito vantato dalla ditta __________ oppure solo come una richiesta di dilazione di pagamento. Nel primo caso, spetta in effetti al creditore provare che i __________ hanno adempiuto i loro doveri contrattuali, di modo che il credito residuo è diventato esigibile e che l’istanza di rigetto deve essere accolta (il riconoscimento deve difatti vertere non solo sull’esistenza e l’ammontare del debito ma pure sulla sua esigibilità, cfr. Daniel Staehelin , B asler Kommentar zum SchKG, Basilea/Ginevra/ Monaco 1998, Vol. I, n. 21 ad art. 82; P anchaud/Caprez , op. cit., n. 1 e 8 ad § 1). Nel secondo caso invece, spetta all’escussa rendere verosimile (art. 82 cpv. 2 LEF) che l’escutente ha accettato la richiesta di dilazione e che la condizione non è avvenuta, cosicché il credito dedotto in esecuzione va considerato inesigibile e l’istanza di rigetto respinta (cfr. Daniel Staehelin , op. cit., n. 22 e 80 ad art. 82). In casu, risulta dalla documentazione agli atti che __________ __________ con la dicitura “dipende dall’adempimento degli obblighi contrattuali dai __________ __________ ” sottintendeva in realtà una dilazione di pagamento, ciò che deriva dalla risposta dalla __________ (“predisporremo un adeguato piano di rientro”, cfr. doc. D) e degli scritti seguenti (doc. E-I), in particolare i doc. G e I in cui l’escussa propone di elaborare un piano di pagamento a rate con termine a fine 2003 per il residuo (terza rata). Il fatto poi che i documenti E, G e I non appaiono firmati da una persona autorizzata a rappresentare l’escussa (cfr. doc. 1 e 2, con esemplari di firme) non è determinante, poiché decisivo è il riconoscimento di debito doc. C, incondizionato sul quantum ed incerto solo su quando l’escussa avrebbe avuto disponibilità finanziarie per far fronte al pagamento. Del resto, l’incertezza sul momento del pagamento non poteva essere compresa, da un destinatario di buona fede a conoscenza dell’intera documentazione agli atti, che come la confessione, da parte della debitrice, di difficoltà finanziarie peraltro notorie che le impedivano di pagare la terza rata prima che i propri __________, ai quali la ditta __________ aveva fornito le prestazioni oggetto del credito posto in esecuzione (cfr. doc. A) e per i quali __________ fungeva probabilmente da intermediario o da appaltatore generale, avessero pagato quanto dovuto all’intermediario/appaltatore. Avesse l’appellante voluto contestare l’esigibilità del credito vantato dall’appellata, avrebbe usato una formulazione diversa (ad es.: la differenza di LIT 320'131'423 non sarà – o non deve essere – pagata fintantoché i __________ non avranno adempiuto i propri obblighi contrattuali), costitutiva di condizionamento.</w:t>
      </w:r>
    </w:p>
    <w:p>
      <w:r>
        <w:rPr>
          <w:b/>
        </w:rPr>
        <w:t>E. 4</w:t>
      </w:r>
    </w:p>
    <w:p>
      <w:r>
        <w:t>Il giudice del rigetto accerta pure d’ufficio se vi è il trinomio di identità tra, da una parte, l’escutente, l’escusso ed il credito indicati nel precetto esecutivo e nell’istanza, e, dall’altra parte, il creditore, il debitore ed il credito di cui al titolo di rigetto (cfr. Cometta , op. cit., p. 331). In casu, solo l’identità tra debitore e escusso pone problema ed è controversa. L’argomentazione dell’appellante non può tuttavia essere accolta. La carta usata per la redazione del doc. C non è in effetti intestata a __________ che figura solo in calce al fax (ciò che dà l’impressione che essa sia l’ufficio di direzione – __________– del gruppo __________e__________), bensì a __________. Inoltre, non ha firmato a nome di __________ ma quale membro del __________ (cfr. rubrica “Da”). Essendo il doc. C la risposta allo scritto 16 luglio 1999 dell’appellata (doc. B) indirizzata a __________ e avendo __________ il potere di firma individuale per tale società (cfr. doc. 1) appare evidente che questi ha firmato il doc. C a nome di __________ ____________________come lo dimostra anche il fatto che il fax 2 agosto 1999 di __________ (doc. E), alla rubrica oggetto, indica __________”. Tutti gli scritti della ditta __________ (cfr. doc. A, B, D, F, H), e persino la domanda di esecuzione ed il precetto esecutivo (doc. J e K), sono del resto stati pure indirizzati a __________ __________, ossia all’indirizzo statutario di quest’ultima (cfr. doc. 1).</w:t>
      </w:r>
    </w:p>
    <w:p>
      <w:r>
        <w:rPr>
          <w:b/>
        </w:rPr>
        <w:t>E. 5</w:t>
      </w:r>
    </w:p>
    <w:p>
      <w:r>
        <w:t>L’appello 26 gennaio 2000 __________ va quindi integralmente respinto. La fissazione della tassa di giustizia e delle indennità seguono la soccombenza (cfr. art. 48, 49, 61 cpv. 1 e 62 cpv. 1 OTLEF). per i quali motivi, richiamati gli art. 82 LEF nonché 61 e 62 OTLEF; pronuncia: 1. L’appello 26 gennaio 2000 __________ è respinto. 2. La tassa di giustizia del presente giudizio di fr. 600.--, già anticipata dall’appellante, rimane a suo carico, con l’obbligo di rifondere alla ditta __________ fr. 1'000.-- di indennità. 3. Intimazione a: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