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14.1999.15 vom 12. Januar 2000</w:t>
      </w:r>
    </w:p>
    <w:p>
      <w:r>
        <w:t>TI Tribunale d'appello, 2000-01-12, IT</w:t>
      </w:r>
    </w:p>
    <w:p>
      <w:r>
        <w:rPr>
          <w:b/>
        </w:rPr>
        <w:t xml:space="preserve">Quelle: </w:t>
      </w:r>
      <w:r>
        <w:t>https://mcp.opencaselaw.ch/entscheid/ti_gerichte_14.1999.15</w:t>
      </w:r>
    </w:p>
    <w:p>
      <w:r>
        <w:t>FR: TI_GERICHTE 14.1999.15 du 12 janvier 2000</w:t>
      </w:r>
    </w:p>
    <w:p>
      <w:r>
        <w:t>IT: TI_GERICHTE 14.1999.15 del 12 gennaio 2000</w:t>
      </w:r>
    </w:p>
    <w:p>
      <w:pPr>
        <w:pStyle w:val="Heading2"/>
      </w:pPr>
      <w:r>
        <w:t>Regeste</w:t>
      </w:r>
    </w:p>
    <w:p>
      <w:r>
        <w:t>Sentenza o decisione senza scheda</w:t>
      </w:r>
    </w:p>
    <w:p>
      <w:pPr>
        <w:pStyle w:val="Heading2"/>
      </w:pPr>
      <w:r>
        <w:t>Erwägungen</w:t>
      </w:r>
    </w:p>
    <w:p>
      <w:r>
        <w:rPr>
          <w:b/>
        </w:rPr>
        <w:t>E. 1</w:t>
      </w:r>
    </w:p>
    <w:p>
      <w:r>
        <w:t>a) La decisione in materia di rigetto ha solo effetti di diritto esecutivo e non cresce in giudicato materiale. Se l'istanza di rigetto è respinta o viene ritirata (ad es. perché il creditore ha dimenticato il titolo di rigetto), potrà essere presentata una seconda istanza solo dopo avere ottenuto un secondo precetto esecutivo (DTF 100 III 50 s. cons. 3; DTF 28 I 250; Rep 1980 p. 109, cons. 5 e rif. ivi; Kurt Amonn/Dominik Gasser. Grundriss des Schuldbetreibungs- und Konkursrechts, 6. ediz., Berna 1997, § 19 n. 22, p. 120 s.; Jaeger/Walder/Kull/Kottmann, Bundesgesetz über Schuldbetreibung und Konkurs, vol. I, 4. ediz., Zurigo 1997, p. 347, V; Rep 1989, p. 343/4, n. 4). b) Con PE n. __________ dell'8/13 luglio 1998 dell'UE di Lugano il __________ ha escusso __________ per l'incasso di fr. 997'538.-- oltre interessi al 5.25% dal 1. gennaio 1998. Interposta tempestiva opposizione dall'escusso, il __________ e con istanza 21 luglio 1998 ne ha chiesto il rigetto provvisorio al Pretore. All'udienza di contraddittorio del 16 settembre 1998 il procedente ha dichiarato di ritirare l'istanza, non essendo in grado di produrre il mandato commerciale a favore della sua rappresentante avv. __________,  riservandosi di riproporla successivamente. La causa è stata pertanto stralciata dai ruoli senza ulteriori formalità e all'escusso è stata riconosciuta un'indennità di fr. 200.-- (cfr. il verbale di contraddittorio del 16 settembre 1998, doc. 2). Nella precedente procedura di rigetto dell'opposizione il __________ ha pertanto ritirato la sua istanza. Per riproporla, come ritenuto al precedente considerando, il procedente deve quindi  promuovere una nuova esecuzione, potendo essere presentata un seconda istanza di rigetto dell'opposizione, solo dopo aver ottenuto un secondo precetto esecutivo. L'istanza 10 novembre 1998 del __________ va respinta e di conseguenza la sentenza pretorile riformata.</w:t>
      </w:r>
    </w:p>
    <w:p>
      <w:r>
        <w:rPr>
          <w:b/>
        </w:rPr>
        <w:t>E. 2</w:t>
      </w:r>
    </w:p>
    <w:p>
      <w:r>
        <w:t>La tassa di giustizia di fr. 600.--, già anticipata dalla parte istante, è a carico del __________, il quale rifonderà a __________ fr. 4'000.-- a titolo di indennità." II. La tassa di giustizia di fr. 900.-- del presente giudizio, già anticipata dall'appellante, è  a carico del __________, il quale rifonderà a __________ fr. 4'000.-- a titolo di indennità." III. Intimazione:       - __________ Comunicazione alla Pretura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