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14.1999.00086 vom 10. Mai 2000</w:t>
      </w:r>
    </w:p>
    <w:p>
      <w:r>
        <w:t>TI Tribunale d'appello, 2000-05-10, IT</w:t>
      </w:r>
    </w:p>
    <w:p>
      <w:r>
        <w:rPr>
          <w:b/>
        </w:rPr>
        <w:t xml:space="preserve">Quelle: </w:t>
      </w:r>
      <w:r>
        <w:t>https://mcp.opencaselaw.ch/entscheid/ti_gerichte_14.1999.00086</w:t>
      </w:r>
    </w:p>
    <w:p>
      <w:r>
        <w:t>FR: TI_GERICHTE 14.1999.00086 du 10 mai 2000</w:t>
      </w:r>
    </w:p>
    <w:p>
      <w:r>
        <w:t>IT: TI_GERICHTE 14.1999.00086 del 10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Per l'art. 326 lett. a CPC la parte appellante può chiedere l'annullamento della sentenza e il rinvio della causa al Pretore per un nuovo giudizio se in suo pregiudizio siano stati fatti degli atti nulli (art. da 142 a 146 CPC). b) Per l'art. 142 cpv. 1 lett. b CPC si ha nullità dell'atto procedurale se la parte contro la quale l'atto è diretto non è stata messa in condizione di rispondere, ritenuto che per il cpv. 2 siffatta nullità deve essere rilevata d'ufficio. c) La citata norma procedurale di diritto cantonale altro non è se non la realizzazione del diritto di essere sentito dedotta dall’art. 29 cpv. 2 Cost. E` principio giurisprudenziale indiscusso (cfr. DTF 96 I 188 cons. 2b, 94 I 109 cons. 5 e 92 I 264; CEF 27 novembre 1990 in re W.P.V.A. c. G. SA cons. 1 e 2 aprile 1987 in re B. c. I.L. cons. 3) che tale diritto è di natura essenzialmente formale: di conseguenza la sua violazione determina l’annullamento della decisione impugnata, a meno che l’appellante, che non è stato sentito avanti il primo giudice, abbia avuto la possibilità di esprimersi in seconda sede e che l’autorità d’appello non sia limitata nel suo potere di cognizione (cfr. DTF 96 I 188, 94 I 108 cons. 3, 93 I 656, 87 I 340 e 76 I 47). d) Per l’art. 321 cpv. 1 lett. b CPC in sede di appello è esclusa la facoltà di addurre nuovi fatti, prove ed eccezioni: a __________ è quindi preclusa la possibilità di far valere i propri mezzi di difesa. e) L’escussa ha sostenuto di non avere ricevuto la citazione all’udienza di contraddittorio. Come risulta dalla narrativa fattuale sub B e C la raccomandata contenente la citazione in questione non è stata notificata, atteso che è rimasta in giacenza presso la Posta ed è poi stata rinviata alla Pretura. f) Al primo giudice va ricordato che secondo l’art. 124 cpv. 2 CPC e avuto riguardo alle peculiarità del processo esecutivo sommario quando un’intimazione a mezzo posta non è riuscita si deve procedere alla notifica per mezzo di usciere comunale o agente della polizia cantonale o comunale. g) Ne consegue la declaratoria di nullità del pronunciato pretorile 26 agosto 1999 per violazione del diritto di essere sentito. h) L’incarto è retrocesso alla Pretore perché proceda ad un nuovo giudizio, previa udienza di contraddittorio ritualmente citata.</w:t>
      </w:r>
    </w:p>
    <w:p>
      <w:r>
        <w:rPr>
          <w:b/>
        </w:rPr>
        <w:t>E. 1.1</w:t>
      </w:r>
    </w:p>
    <w:p>
      <w:r>
        <w:t>Di conseguenza è annullata la sentenza 26 agosto 1999 della Segretaria assessore della Pretura del Distretto di Lugano, Sezione 5.</w:t>
      </w:r>
    </w:p>
    <w:p>
      <w:r>
        <w:rPr>
          <w:b/>
        </w:rPr>
        <w:t>E. 1.2</w:t>
      </w:r>
    </w:p>
    <w:p>
      <w:r>
        <w:t>L’incarto è retrocesso alla prima giudice perché proceda ad un nuovo giudizio previa udienza di contraddittorio.</w:t>
      </w:r>
    </w:p>
    <w:p>
      <w:r>
        <w:rPr>
          <w:b/>
        </w:rPr>
        <w:t>E. 2</w:t>
      </w:r>
    </w:p>
    <w:p>
      <w:r>
        <w:t>Non si preleva la tassa di giustizia e non si assegnano indennità.</w:t>
      </w:r>
    </w:p>
    <w:p>
      <w:r>
        <w:rPr>
          <w:b/>
        </w:rPr>
        <w:t>E. 3</w:t>
      </w:r>
    </w:p>
    <w:p>
      <w:r>
        <w:t>Intimazione a: - __________ Per la Camera di esecuzione e fallimenti del Tribunale d’appello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