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14.1998.102 vom 18. Januar 1999</w:t>
      </w:r>
    </w:p>
    <w:p>
      <w:r>
        <w:t>TI Tribunale d'appello, 1999-01-18, IT</w:t>
      </w:r>
    </w:p>
    <w:p>
      <w:r>
        <w:rPr>
          <w:b/>
        </w:rPr>
        <w:t xml:space="preserve">Quelle: </w:t>
      </w:r>
      <w:r>
        <w:t>https://mcp.opencaselaw.ch/entscheid/ti_gerichte_14.1998.102</w:t>
      </w:r>
    </w:p>
    <w:p>
      <w:r>
        <w:t>FR: TI_GERICHTE 14.1998.102 du 18 janvier 1999</w:t>
      </w:r>
    </w:p>
    <w:p>
      <w:r>
        <w:t>IT: TI_GERICHTE 14.1998.102 del 18 gennaio 1999</w:t>
      </w:r>
    </w:p>
    <w:p>
      <w:pPr>
        <w:pStyle w:val="Heading2"/>
      </w:pPr>
      <w:r>
        <w:t>Erwägungen</w:t>
      </w:r>
    </w:p>
    <w:p>
      <w:r>
        <w:rPr>
          <w:b/>
        </w:rPr>
        <w:t>E. 1</w:t>
      </w:r>
    </w:p>
    <w:p>
      <w:r>
        <w:t>Per i combinati art. 25 n.2 lett. a LEF, art. 20 cpv.1 LALEF e 62 cpv.1 OTLEF, nelle procedure sommarie in materia di sequestro (art. 278 LEF) il giudice può, su domanda della parte vincente, condannare la parte soccombente al pagamento di un’equa indennità come risarcimento delle spese. In DTF 113 III 110 cons.3b e 3c, il Tribunale federale ha rilevato che l’equa indennità può essere assegnata per la perdita di tempo e per le spese sopportate e il suo ammontare deve essere fissato nella decisione. Sulle modalità della sua determinazione il Tribunale federale  si è poi espresso in DTF 119 III 69, statuendo che l’indennità - nelle procedure sommarie in materia di esecuzione - può comprendere anche le spese derivanti dal patrocinio di un avvocato. La valutazione dell’equa indennità ha luogo in applicazione del diritto federale (art. 62 cpv.1 OTLEF), ritenuto che si può far capo alla Tariffa dell’Ordine degli Avvocati solo in termini di semplice riferimento e avuto riguardo alle peculiarità del caso di specie (DTF 119 III 69 cons.3b e rif.ivi). L’art. 18 cpv.1 TOA stabilisce che per le procedure sommarie previste dalla LEF l’onorario va dal 10% al 50% dell’onorario normale calcolato giusta l’art. 9 della tariffa, ritenuto un massimo di Fr. 20’000.--. L’art.19 TOA stabilisce per contro che per le istanze di sequestro l’onorario va dal 20% al 70 % dell’onorario normale calcolato giusta l’art. 9 della stessa tariffa sulla media fra il valore dei beni sequestrati e l’importo del credito garantito, ritenuto un massimo di Fr. 50’000.--. L’appellante ritiene che per il calcolo dell’onorario in una procedura di opposizione al sequestro, “non espressamente prevista dalla TOA, anteriore all’introduzione di tale istituto” faccia stato per analogia l’art. 19 TOA e chiede quindi il riconoscimento relativamente alla procedura di opposizione al sequestro del 27 maggio 1998 di un onorario di almeno Fr. 2’000.--, “dato il valore di causa sopraindicato”. Considerato che come detto le indennità da assegnare nelle procedure sommarie in materia di esecuzione sono rette dalla normativa federale - in particolare dall’art. 62 cpv.1 OTLEF - e che per il calcolo delle stesse la tariffa cantonale può servire in ogni caso soltanto da semplice riferimento, questa Camera ritiene - in via pregiudiziale - che per la determinazione di un’ “equa indennità” nel senso della citata norma si possa e debba far capo all’art.18 della TOA, non giustificandosi un diverso trattamento per le procedure in tema di sequestro rispetto alle altre procedure sommarie, pure rette dai nuovi art. 19 e segg. LALEF. In concreto tuttavia va pure considerato che il (secondo) atto di opposizione redatto dal patrocinatore di __________ contro il sequestro ottenuto da __________ a tutela di un credito vantato di circa di Fr. 140’000.-- è identico (salvo che per l’ammontare del credito garantito rispettivamente l’ammontare complessivo degli assegni sequestrati) ad altro atto di opposizione contro un sequestro di poco precedente tra le medesime parti, chiesto per lo stesso titolo di credito e per la stessa causa di sequestro, e vertente sui medesimi beni. In siffatte circostanze un’indennità di Fr. 500.-- (corrispondente a circa due ore di lavoro a tariffa di Fr. 250.-- all’ora) può essere ritenuta equa, avuto riguardo anche in questo caso all’annullamento dell’udienza di discussione, rispettivamente alla desistenza della controparte.</w:t>
      </w:r>
    </w:p>
    <w:p>
      <w:r>
        <w:rPr>
          <w:b/>
        </w:rPr>
        <w:t>E. 2</w:t>
      </w:r>
    </w:p>
    <w:p>
      <w:r>
        <w:t>omissis .</w:t>
      </w:r>
    </w:p>
    <w:p>
      <w:r>
        <w:rPr>
          <w:b/>
        </w:rPr>
        <w:t>E. 3</w:t>
      </w:r>
    </w:p>
    <w:p>
      <w:r>
        <w:t>La tassa di giustizia e le spese, in totale di Fr. 100.--, sono poste a carico della convenuta __________ con l’obbligo di rifondere alla controparte Fr. 500.--  a titolo di indennità.</w:t>
      </w:r>
    </w:p>
    <w:p>
      <w:r>
        <w:rPr>
          <w:b/>
        </w:rPr>
        <w:t>E. 4</w:t>
      </w:r>
    </w:p>
    <w:p>
      <w:r>
        <w:t>omissis .” II. La tassa di giustizia della presente decisione di Fr. 150.--, già anticipata dall’appellante, per 1/5 è posta a carico della parte appellata, mentre per 4/5 resta a carico di __________, che rifonderà a __________ Fr. 60.--  per parte di indennità di appello. III. Intimazione a:                    -      __________ Comunicazione alla Pretura del Distretto di Lugano, Sezione 4.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