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14.1997.9 vom 30. Oktober 1997</w:t>
      </w:r>
    </w:p>
    <w:p>
      <w:r>
        <w:t>TI Tribunale d'appello, 1997-10-30, IT</w:t>
      </w:r>
    </w:p>
    <w:p>
      <w:r>
        <w:rPr>
          <w:b/>
        </w:rPr>
        <w:t xml:space="preserve">Quelle: </w:t>
      </w:r>
      <w:r>
        <w:t>https://mcp.opencaselaw.ch/entscheid/ti_gerichte_14.1997.9</w:t>
      </w:r>
    </w:p>
    <w:p>
      <w:r>
        <w:t>FR: TI_GERICHTE 14.1997.9 du 30 octobre 1997</w:t>
      </w:r>
    </w:p>
    <w:p>
      <w:r>
        <w:t>IT: TI_GERICHTE 14.1997.9 del 30 ottobre 1997</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Nel caso di un’esecuzione ordinaria per titolo cambiario l’esame della sua esecutività si estende all’accertamento della validità del titolo sotto il profilo del diritto cambiario (Rep 1979 p. 400-401 e 1949 p. 312; Panchaud/Caprez, Die Rechtsöffnung, Zurigo 1980, §59 p. 141). b) In linea di principio i vaglia cambiari doc. C, D e E, che adempiono i requisiti i cui all’art. 1096 CO, così come la dichiarazione 19 febbraio 1996 sottoscritta da __________ (doc. B), costituiscono validi riconoscimenti di debito ex art. 82 LEF.</w:t>
      </w:r>
    </w:p>
    <w:p>
      <w:r>
        <w:rPr>
          <w:b/>
        </w:rPr>
        <w:t>E. 2</w:t>
      </w:r>
    </w:p>
    <w:p>
      <w:r>
        <w:t>girare il vaglia cambiario di nuovo in bianco o a persona determinata;</w:t>
      </w:r>
    </w:p>
    <w:p>
      <w:r>
        <w:rPr>
          <w:b/>
        </w:rPr>
        <w:t>E. 3</w:t>
      </w:r>
    </w:p>
    <w:p>
      <w:r>
        <w:t>L’appello</w:t>
      </w:r>
    </w:p>
    <w:p>
      <w:r>
        <w:rPr>
          <w:b/>
        </w:rPr>
        <w:t>E. 5</w:t>
      </w:r>
    </w:p>
    <w:p>
      <w:r>
        <w:t>febbraio 1997 __________, è accolto. Di conseguenza la sentenza 27 gennaio 1997 della Pretore del Distretto di Lugano, Sezione 5, è così riformata: “ 1. L’istanza 20 novembre 1996 __________, è accolta. Di conseguenza l’opposizione interposta da __________ al PE n. __________del 28 ottobre/4 novembre 1996 dell’UE di Lugano è rigettata in via provvisoria per Fr. 150’000.--. 2. La tassa di giustizia di Fr. 150.--, da anticipare dalla parte istante, è a carico di __________, che rifonderà __________ Fr. 600.-- a titolo di indennità.” II. La tassa di giustizia del presente giudizio di Fr. 225.--, già anticipata dall’appellante, è a carico di __________, che rifonderà __________ Fr. 1’000.--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