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14.1997.00116 vom 28. Juli 1997</w:t>
      </w:r>
    </w:p>
    <w:p>
      <w:r>
        <w:t>TI Tribunale d'appello, 1997-07-28, IT</w:t>
      </w:r>
    </w:p>
    <w:p>
      <w:r>
        <w:rPr>
          <w:b/>
        </w:rPr>
        <w:t xml:space="preserve">Quelle: </w:t>
      </w:r>
      <w:r>
        <w:t>https://mcp.opencaselaw.ch/entscheid/ti_gerichte_14.1997.00116</w:t>
      </w:r>
    </w:p>
    <w:p>
      <w:r>
        <w:t>FR: TI_GERICHTE 14.1997.00116 du 28 juillet 1997</w:t>
      </w:r>
    </w:p>
    <w:p>
      <w:r>
        <w:t>IT: TI_GERICHTE 14.1997.00116 del 28 luglio 1997</w:t>
      </w:r>
    </w:p>
    <w:p>
      <w:pPr>
        <w:pStyle w:val="Heading2"/>
      </w:pPr>
      <w:r>
        <w:t>Regeste</w:t>
      </w:r>
    </w:p>
    <w:p>
      <w:r>
        <w:t>Sentenza o decisione senza scheda</w:t>
      </w:r>
    </w:p>
    <w:p>
      <w:pPr>
        <w:pStyle w:val="Heading2"/>
      </w:pPr>
      <w:r>
        <w:t>Erwägungen</w:t>
      </w:r>
    </w:p>
    <w:p>
      <w:r>
        <w:rPr>
          <w:b/>
        </w:rPr>
        <w:t>E. 1</w:t>
      </w:r>
    </w:p>
    <w:p>
      <w:r>
        <w:t>Ex art. 85 nRFF (entrato in vigore il 1. gennaio 1997) salvo menzione contraria espressa, l’opposizione è presunta diretta contro il credito e l’esistenza di un diritto di pegno.</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La volontà di obbligarsi può risultare da un atto pubblico redatto nelle forme stabilite dal diritto cantonale quali le cartelle ipotecarie (Cometta, op. cit. in rep 1989 p. 337). b)   Vi deve essere esigibilità del credito già al momento dell’invio della domanda d’esecuzione e non solo al momento della litispendenza dell’istanza di rigetto: il diritto esecutivo serve a realizzare il diritto materiale; un credito non ancora esigibile per diritto materiale al momento dell’invio della domanda d’esecuzione non può essere tenuto in considerazione nemmeno quando l’esigibilità sia realizzata al momento della litispendenza dell’istanza di rigetto (Cometta, op. cit. in Rep 1989 p. 347). c)   La disdetta è una dichiarazione di volontà ricettizia. La sua particolarità consiste nel fatto che essa, per il suo contenuto, diventa effettiva unicamente, se viene dichiarata nei confronti di una o più persone determinate. La validità di una dichiarazione di volontà ricettizia presuppone di regola che la dichiarazione giunga al destinatario, in quanto essa gli sia pervenuta. Dalla ricezione della dichiarazione dipende l’efficacia della dichiarazione  (Gauch/Schluep, Schw. Obligationenrecht, Allg. Teil,  6. ed. n. 194-196 p. 30/31). d)   Ex art. 844 CC, salvo contraria disposizione, il creditore ed il debitore possono denunciare il rimborso della cartella ipotecaria solo con il preavviso di sei mesi e per il termine consueto del pagamento degli interessi. Il diritto cantonale può stabilire delle norme restrittive per la disdetta delle cartelle ipotecarie. La predetta norma è di diritto dispositivo. Le parti possono infatti per esempio modificare i termini previsti dalla legge. Gli accordi speciali relativi alla disdetta delle cartelle ipotecarie devono essere indicati a Registro fondiario nella colonna delle osservazioni (art. 40 cpv. 2 ORF). La libertà delle parti può tuttavia essere limitata da norme di diritto cantonale. L’art. 844 cpv. 2 CC permette infatti ai cantoni di emanare disposizioni restrittive in materia (cfr. Paul-Henri Steinauer, Les droits réels, vol. III, Berna 1996, § 95, n. 2943 -2944 p. 248-249) e)   Il Cantone Ticino non ha emanato alcuna disposizione relativa ai termini di disdetta delle cartelle ipotecarie, per cui le parti possono in merito accordarsi liberamente. Dalla documentazione prodotta dal procedente risulta che le parti hanno concordato la facoltà di disdire la cartella ipotecaria doc. F in ogni tempo, con un preavviso scritto di un mese, mentre per le cartelle ipotecarie doc. da G a Q hanno previsto un preavviso di sei mesi, da far precorrere ad una scadenza semestrale di interessi. Orbene la procedente ha prodotto una lettera 28 giugno 1995 (doc. B) recante l’indicazione “raccomandata”, comunque priva di qualsivoglia giustificativo (avviso di invio raccomandato) indirizzata alla __________, c/o __________ a __________, con cui ha formulato la disdetta dei crediti incorporati nelle predette cartelle ipotecarie per il 31 dicembre 1995 risp. per  il 31 luglio 1995. A comprova della contestata notifica della disdetta, la procedente non ha prodotto nè una ricevuta di ritorno, nè una ricerca postale, ossia nessun documento atto a dimostrare che la disdetta è effettivamente stata inviata alla __________ risp. ai suoi componenti. Per quel che concerne l’eccezione di abuso di diritto sollevata dalla procedente, secondo la quale, dal fatto che l’escussa non abbia contestato formalmente, nella precedente procedura di rigetto dell’opposizione, l’esigibilità dei crediti e conseguentemente l’avvenuta disdetta degli stessi, si deve dedurre l’avvenuta ricezione della disdetta, va rilevato che dalla sentenza 8 maggio 1996 (doc. 1) risulta che in tale procedura la carente esigibilità dei crediti incorporati nelle cartelle ipotecarie è stata rilevata d’ufficio. Mancando agli atti il verbale di contraddittorio di tale udienza, non può però essere verificato se la disdetta sia già stata allora oggetto di discussione. Di conseguenza non può nemmeno essere affermato che, non avendo l’escussa già in quella sede eccepito la mancata notifica della disdetta, questa le sia pervenuta. L’eccezione di abuso di diritto (sulla nozione cfr. Max Baumann, Zürcher Kommentar, 1998, n. 33 e 36 ad art. 2 CC) non può quindi venire accolta. Non risultando comprovato l’invio della disdetta dei crediti  incorporati nelle cartelle ipotecarie in oggetto, si può prescindere dall’esaminare la questione a sapere se la disdetta indirizzata unicamente ad uno degli eredi componenti la Comunione ereditaria sia valida. Le cartelle ipotecarie doc. da F a Q non possono quindi costituire validi riconoscimenti di debito ex art. 82 LEF. L’istanza 28 luglio 1997 del __________ va pertanto respinta e la sentenza pretorile riformata.</w:t>
      </w:r>
    </w:p>
    <w:p>
      <w:r>
        <w:rPr>
          <w:b/>
        </w:rPr>
        <w:t>E. 3</w:t>
      </w:r>
    </w:p>
    <w:p>
      <w:r>
        <w:t>Visto l’esito, diviene superflua l’indagine sull’opposizione contro l’esistenza  di un diritto di pegno, a prescindere dal fatto che l’opposizione sarebbe comunque stata rigettata. Infatti in casu gli atti di costituzione di pegno (doc. E, I, O), sottoscritti dai componenti la comunione ereditaria, prevedono la facoltà della banca di “esercitare verso il debitore del pegno e verso i terzi tutti i diritti spettanti al proprietario del pegno”. Secondo quanto indicato alle cifre 5, 6 e 7 dei predetti documenti di costituzione di pegno, la creditrice può “in particolare, procedere alla denuncia ed all’incasso dei crediti e dei titoli” e “dopo averne dato avviso al costituente, realizzare liberamente in tutto o in parte i titoli e valori oggetto del pegno, sia in borsa, sia mediante libera contrattazione” (cfr. sulla possibilità di prevedere tali clausole DTF 118 II 114; Oftinger/Bär, Zürcher Kommentar, 1981, n. 48 ad art. 891 CC).</w:t>
      </w:r>
    </w:p>
    <w:p>
      <w:r>
        <w:rPr>
          <w:b/>
        </w:rPr>
        <w:t>E. 4</w:t>
      </w:r>
    </w:p>
    <w:p>
      <w:r>
        <w:t>L’appello 16 ottobre __________ è quindi accolto. Tassa di giustizia e indennità seguono la soccombenza (art. 48, 49 61 cpv. 1 e 62 cpv. 1 OTLEF). Per i quali motivi, richiamato l’art. 82 LEF pronuncia I.   L’appello 16 ottobre 1997 __________ composta di __________, __________ e __________, è accolto. Di conseguenza la sentenza 6 ottobre 1997 del Pretore di Locarno-Città è così riformata: “1.    L’istanza 28 luglio 1997 __________, è respinta. 2.    La tassa di giustizia di fr. 900.--, da anticipare dalla parte istante, è a carico del __________, che rifonderà alla __________ Fr. 500.-- a titolo di indennità.” II.   La tassa di giustizia del presente giudizio di fr. 1’350.--, già anticipata dall’appellante, è posta a carico del __________, che rifonderà alla __________ fr. 500.-- a titolo di indennità. III.   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