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14.1997.00056 vom 10. April 1997</w:t>
      </w:r>
    </w:p>
    <w:p>
      <w:r>
        <w:t>TI Tribunale d'appello, 1997-04-10, IT</w:t>
      </w:r>
    </w:p>
    <w:p>
      <w:r>
        <w:rPr>
          <w:b/>
        </w:rPr>
        <w:t xml:space="preserve">Quelle: </w:t>
      </w:r>
      <w:r>
        <w:t>https://mcp.opencaselaw.ch/entscheid/ti_gerichte_14.1997.00056_d19970410</w:t>
      </w:r>
    </w:p>
    <w:p>
      <w:r>
        <w:t>FR: TI_GERICHTE 14.1997.00056 du 10 avril 1997</w:t>
      </w:r>
    </w:p>
    <w:p>
      <w:r>
        <w:t>IT: TI_GERICHTE 14.1997.00056 del 10 aprile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Per i crediti non garantiti da pegno il creditore può chiedere il sequestro di beni del debitore, quando sia data una causa di sequestro (cfr. art. 271 cpv. 1 n. 1 a 5 LEF). Nel Cantone Ticino competente per la concessione del sequestro è il Pretore (art. 14 cpv. 1 e 16 cpv. 3 LALEF), rispettivamente, per valori inferiori a fr. 1’000.--, il Giudice di pace (art. 14 cpv. 1 LALEF e art. 5 cpv. 1 LOG), del luogo in cui si trovano i beni da sequestrare indicati dal creditore. La procedura, di natura sommaria (art. 25 n. 2 lett. a LEF), è retta dall’art. 19 LALEF che non prevede il contraddittorio. Prima di concedere il sequestro il giudice esamina, sulla base dei soli elementi addotti dal creditore, se è stata resa sufficientemente verosimile l’esistenza del credito, di una causa di sequestro nonché di beni appartenenti al debitore (art. 272 LEF). b) Concesso il sequestro, chi è toccato nei suoi diritti può fare opposizione al giudice del sequestro entro dieci giorni da quando ne ha avuto conoscenza (art. 278 cpv. 1 LEF). In tal caso il giudice, in una procedura pure sommaria retta dagli art. 20 e ss. LALEF, sottopone il sequestro a nuovo esame, dando agli interessati la possibilità di esprimersi (cfr. art. 278 cpv. 2 LEF). La sua nuova decisione può essere impugnata con il rimedio dell’appello alla Camera di esecuzione e fallimenti (art. 22 LALEF e art. 14 e 22 lett. c LOG), rispettivamente, in caso di valore inferiore agli 8’000.-- franchi, con ricorso per cassazione alla Camera di cassazione civile (art. 22 LALEF e art. 5, 13 e 22 lett. b LOG). c) L’esame dei presupposti processuali avviene in linea di principio d’ufficio e in ogni stadio di procedura, atteso che relativamente alla loro esistenza non basta la sola verosimiglianza (cfr. D. Gasser, Das Abwehrdispositiv der Arrestbetroffenen nach revidiertem SchKG, in: ZBJV 1994, p. 596 e 607 s.). Tra i presupposti processuali rientrano la capacità di essere parte come creditore procedente rispettivamente come debitore escusso in un procedimento esecutivo, nonché la capacità di tutelare in modo indipendente - personalmente o mediante un patrocinatore autonomamente designato - i propri interessi (di creditore rispettivamente di debitore) nel medesimo procedimento (sulla distinzione tra “Parteifähigkeit” e “Betreibungsfähigkeit”, cfr. K. Amonn/ D. Gasser, Grundriss des Schuldbetreibungs- und Konkursrechts, 6. ed., Berna 1997, § 8 , p. 60 s. n. 3 ss.; D. Gasser, op. cit. , p. 607; P.-R. Gilliéron, Poursuite pour dettes, faillite et concordat,</w:t>
      </w:r>
    </w:p>
    <w:p>
      <w:r>
        <w:rPr>
          <w:b/>
        </w:rPr>
        <w:t>E. 3</w:t>
      </w:r>
    </w:p>
    <w:p>
      <w:r>
        <w:t>Tassa di giustizia e indennità seguono la soccombenza (art. 48, 61 cpv. 1 e 62 cpv.1 OTLEF). Richiamati gli art. 271 ss. LEF e, per le spese, la vigente OTLEF, pronuncia: I. L’appello 24 aprile 1997__________, è dichiarato irricevibile. II. La tassa di giustizia della presente decisione di fr. 400.--, già anticipata dall’appellante, resta a suo carico con l’obbligo di rifondere a __________, fr. 1’000.-- per indennità di appello. III. Intimazione a:   ____________ Comunicazione alla Pretura del Distretto di Lugano, Sezione 4, e all’Ufficio di esecuzione del Distretto di Lugano. Per la Camera di esecuzione e fallimenti del Tribunale d’appello Il presidente: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